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35CD5" w14:textId="77777777" w:rsidR="00C1022E" w:rsidRPr="0070242E" w:rsidRDefault="00C1022E" w:rsidP="00C1022E">
      <w:pPr>
        <w:pStyle w:val="Annexetitre"/>
        <w:rPr>
          <w:rStyle w:val="Marker"/>
        </w:rPr>
      </w:pPr>
      <w:r w:rsidRPr="0070242E">
        <w:t>II. MELLÉKLET</w:t>
      </w:r>
    </w:p>
    <w:p w14:paraId="44DD1904" w14:textId="77777777" w:rsidR="00C1022E" w:rsidRPr="0070242E" w:rsidRDefault="00C1022E" w:rsidP="00C1022E">
      <w:pPr>
        <w:spacing w:before="720" w:after="720"/>
        <w:jc w:val="center"/>
        <w:rPr>
          <w:rFonts w:eastAsia="Times New Roman"/>
          <w:b/>
          <w:smallCaps/>
          <w:szCs w:val="20"/>
        </w:rPr>
      </w:pPr>
      <w:r w:rsidRPr="0070242E">
        <w:rPr>
          <w:b/>
        </w:rPr>
        <w:t>A megfelelés-ellenőrzési összefoglaló lap sablonja az (EU)</w:t>
      </w:r>
      <w:r>
        <w:rPr>
          <w:b/>
        </w:rPr>
        <w:t>2022/1616</w:t>
      </w:r>
      <w:r w:rsidRPr="0070242E">
        <w:rPr>
          <w:b/>
        </w:rPr>
        <w:t xml:space="preserve"> rendelet 26. cikkének megfelelően</w:t>
      </w:r>
    </w:p>
    <w:p w14:paraId="71158CC9" w14:textId="77777777" w:rsidR="00C1022E" w:rsidRPr="0070242E" w:rsidRDefault="00C1022E" w:rsidP="00C1022E">
      <w:pPr>
        <w:widowControl w:val="0"/>
        <w:spacing w:before="0" w:after="0"/>
        <w:rPr>
          <w:rFonts w:eastAsia="Calibri"/>
          <w:color w:val="000000"/>
          <w:szCs w:val="24"/>
        </w:rPr>
      </w:pPr>
      <w:r w:rsidRPr="0070242E">
        <w:rPr>
          <w:color w:val="000000"/>
          <w:szCs w:val="24"/>
        </w:rPr>
        <w:t>A sablont a helyes gyártási gyakorlatról szóló 2023/2006/EK rendeletben és annak B. mellékletében szereplő fogalommeghatározások figyelembevételével kell kitölteni.</w:t>
      </w:r>
    </w:p>
    <w:p w14:paraId="62C6EF28" w14:textId="77777777" w:rsidR="00C1022E" w:rsidRPr="0070242E" w:rsidRDefault="00C1022E" w:rsidP="00C1022E">
      <w:pPr>
        <w:widowControl w:val="0"/>
        <w:spacing w:before="0" w:after="0"/>
        <w:rPr>
          <w:rFonts w:eastAsia="Calibri"/>
          <w:color w:val="000000"/>
          <w:szCs w:val="24"/>
          <w:lang w:bidi="en-US"/>
        </w:rPr>
      </w:pPr>
    </w:p>
    <w:p w14:paraId="04D1C05B" w14:textId="77777777" w:rsidR="00C1022E" w:rsidRPr="0070242E" w:rsidRDefault="00C1022E" w:rsidP="00C1022E">
      <w:pPr>
        <w:widowControl w:val="0"/>
        <w:spacing w:before="0" w:after="0"/>
        <w:rPr>
          <w:rFonts w:eastAsia="Calibri"/>
          <w:color w:val="000000"/>
          <w:szCs w:val="24"/>
        </w:rPr>
      </w:pPr>
      <w:r w:rsidRPr="0070242E">
        <w:rPr>
          <w:color w:val="000000"/>
          <w:szCs w:val="24"/>
        </w:rPr>
        <w:t>Az e dokumentumban a 2023/2006/EK rendeletnek megfelelően használt rövidítések:</w:t>
      </w:r>
    </w:p>
    <w:p w14:paraId="7DCD08F8" w14:textId="77777777" w:rsidR="00C1022E" w:rsidRPr="0070242E" w:rsidRDefault="00C1022E" w:rsidP="00C1022E">
      <w:pPr>
        <w:widowControl w:val="0"/>
        <w:spacing w:before="0" w:after="0"/>
        <w:rPr>
          <w:rFonts w:eastAsia="Calibri"/>
          <w:color w:val="000000"/>
          <w:szCs w:val="24"/>
          <w:lang w:bidi="en-US"/>
        </w:rPr>
      </w:pPr>
    </w:p>
    <w:p w14:paraId="3DDE0EDA" w14:textId="77777777" w:rsidR="00C1022E" w:rsidRPr="0070242E" w:rsidRDefault="00C1022E" w:rsidP="00C1022E">
      <w:pPr>
        <w:widowControl w:val="0"/>
        <w:spacing w:before="0" w:after="0"/>
        <w:rPr>
          <w:rFonts w:eastAsia="Times New Roman"/>
          <w:color w:val="000000"/>
          <w:szCs w:val="24"/>
        </w:rPr>
      </w:pPr>
      <w:r w:rsidRPr="0070242E">
        <w:rPr>
          <w:color w:val="000000"/>
          <w:szCs w:val="24"/>
        </w:rPr>
        <w:t>QA:</w:t>
      </w:r>
      <w:r w:rsidRPr="0070242E">
        <w:tab/>
      </w:r>
      <w:r w:rsidRPr="0070242E">
        <w:tab/>
      </w:r>
      <w:r w:rsidRPr="0070242E">
        <w:rPr>
          <w:color w:val="000000"/>
          <w:szCs w:val="24"/>
        </w:rPr>
        <w:t>Minőségértékelés</w:t>
      </w:r>
    </w:p>
    <w:p w14:paraId="0AEC854F" w14:textId="77777777" w:rsidR="00C1022E" w:rsidRPr="0070242E" w:rsidRDefault="00C1022E" w:rsidP="00C1022E">
      <w:pPr>
        <w:widowControl w:val="0"/>
        <w:spacing w:before="0" w:after="0"/>
        <w:rPr>
          <w:rFonts w:eastAsia="Times New Roman"/>
          <w:color w:val="000000"/>
          <w:szCs w:val="24"/>
        </w:rPr>
      </w:pPr>
      <w:r w:rsidRPr="0070242E">
        <w:rPr>
          <w:color w:val="000000"/>
          <w:szCs w:val="24"/>
        </w:rPr>
        <w:t>SOP:</w:t>
      </w:r>
      <w:r w:rsidRPr="0070242E">
        <w:tab/>
      </w:r>
      <w:r w:rsidRPr="0070242E">
        <w:tab/>
      </w:r>
      <w:r w:rsidRPr="0070242E">
        <w:rPr>
          <w:color w:val="000000"/>
          <w:szCs w:val="24"/>
        </w:rPr>
        <w:t>Hatályos műveleti utasítás</w:t>
      </w:r>
    </w:p>
    <w:p w14:paraId="2EC2DF72" w14:textId="77777777" w:rsidR="00C1022E" w:rsidRPr="0070242E" w:rsidRDefault="00C1022E" w:rsidP="00C1022E">
      <w:pPr>
        <w:widowControl w:val="0"/>
        <w:spacing w:before="0" w:after="0"/>
        <w:ind w:left="1440" w:hanging="1440"/>
        <w:rPr>
          <w:rFonts w:eastAsia="Times New Roman"/>
          <w:color w:val="000000"/>
          <w:szCs w:val="24"/>
        </w:rPr>
      </w:pPr>
      <w:r w:rsidRPr="0070242E">
        <w:rPr>
          <w:color w:val="000000"/>
          <w:szCs w:val="24"/>
        </w:rPr>
        <w:t>SOP-kód:</w:t>
      </w:r>
      <w:r w:rsidRPr="0070242E">
        <w:tab/>
      </w:r>
      <w:r w:rsidRPr="0070242E">
        <w:rPr>
          <w:color w:val="000000"/>
          <w:szCs w:val="24"/>
        </w:rPr>
        <w:t>a SOP-kód két számból áll: a hatályos műveleti utasítás számából és a dokumentum számából, amelyben a SOPNr – DocNr formátumban szerepel; a dokumentumszámnak meg kell felelnie a 2.3. szakaszban szereplő dokumentumszámnak, a SOP-számnak és az újrafeldolgozást végző vállalat számozási rendszerének.</w:t>
      </w:r>
    </w:p>
    <w:p w14:paraId="0502F7A7" w14:textId="77777777" w:rsidR="00C1022E" w:rsidRPr="0070242E" w:rsidRDefault="00C1022E" w:rsidP="00C1022E">
      <w:pPr>
        <w:pStyle w:val="ManualHeading1"/>
      </w:pPr>
      <w:r w:rsidRPr="0070242E">
        <w:t>1.</w:t>
      </w:r>
      <w:r w:rsidRPr="0070242E">
        <w:tab/>
        <w:t>1. szakasz: Azonosítás</w:t>
      </w:r>
    </w:p>
    <w:p w14:paraId="5DE36FF9" w14:textId="77777777" w:rsidR="00C1022E" w:rsidRPr="0070242E" w:rsidRDefault="00C1022E" w:rsidP="00C1022E">
      <w:pPr>
        <w:pStyle w:val="Text1"/>
      </w:pPr>
      <w:r w:rsidRPr="0070242E">
        <w:t xml:space="preserve">Az e szakaszban említett számoknak (RIN, RFN, RON, RAN, NTN) meg kell felelniük az (EU) </w:t>
      </w:r>
      <w:r>
        <w:t>2022/1616</w:t>
      </w:r>
      <w:r w:rsidRPr="0070242E">
        <w:t xml:space="preserve"> rendelet 24. cikkével összhangban meghatározott uniós nyilvántartásban szereplő számoknak.</w:t>
      </w:r>
    </w:p>
    <w:p w14:paraId="794B8709" w14:textId="77777777" w:rsidR="00C1022E" w:rsidRPr="0070242E" w:rsidRDefault="00C1022E" w:rsidP="00C1022E">
      <w:pPr>
        <w:pStyle w:val="ManualHeading2"/>
      </w:pPr>
      <w:r w:rsidRPr="0070242E">
        <w:t>1.1.</w:t>
      </w:r>
      <w:r w:rsidRPr="0070242E">
        <w:tab/>
        <w:t>Az újrafeldolgozó létesítmény azonosítása</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244"/>
      </w:tblGrid>
      <w:tr w:rsidR="00C1022E" w:rsidRPr="0070242E" w14:paraId="30EEC872" w14:textId="77777777" w:rsidTr="00CD037E">
        <w:trPr>
          <w:trHeight w:val="442"/>
        </w:trPr>
        <w:tc>
          <w:tcPr>
            <w:tcW w:w="2977" w:type="dxa"/>
            <w:tcBorders>
              <w:top w:val="single" w:sz="4" w:space="0" w:color="auto"/>
              <w:left w:val="single" w:sz="4" w:space="0" w:color="auto"/>
              <w:bottom w:val="single" w:sz="4" w:space="0" w:color="auto"/>
              <w:right w:val="single" w:sz="4" w:space="0" w:color="auto"/>
            </w:tcBorders>
            <w:hideMark/>
          </w:tcPr>
          <w:p w14:paraId="61884D78" w14:textId="77777777" w:rsidR="00C1022E" w:rsidRPr="0070242E" w:rsidRDefault="00C1022E" w:rsidP="00CD037E">
            <w:pPr>
              <w:spacing w:before="40" w:after="40"/>
              <w:rPr>
                <w:rFonts w:eastAsia="Calibri" w:cs="Iskoola Pota"/>
                <w:b/>
              </w:rPr>
            </w:pPr>
            <w:r w:rsidRPr="0070242E">
              <w:rPr>
                <w:b/>
              </w:rPr>
              <w:t>A létesítmény megnevezése</w:t>
            </w:r>
          </w:p>
        </w:tc>
        <w:tc>
          <w:tcPr>
            <w:tcW w:w="5244" w:type="dxa"/>
            <w:tcBorders>
              <w:top w:val="single" w:sz="4" w:space="0" w:color="auto"/>
              <w:left w:val="single" w:sz="4" w:space="0" w:color="auto"/>
              <w:bottom w:val="single" w:sz="4" w:space="0" w:color="auto"/>
              <w:right w:val="single" w:sz="4" w:space="0" w:color="auto"/>
            </w:tcBorders>
            <w:hideMark/>
          </w:tcPr>
          <w:p w14:paraId="4510CF55"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030598C0"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tcPr>
          <w:p w14:paraId="538C8BB7" w14:textId="77777777" w:rsidR="00C1022E" w:rsidRPr="0070242E" w:rsidRDefault="00C1022E" w:rsidP="00CD037E">
            <w:pPr>
              <w:spacing w:before="40" w:after="40"/>
              <w:rPr>
                <w:rFonts w:eastAsia="Calibri" w:cs="Iskoola Pota"/>
                <w:b/>
              </w:rPr>
            </w:pPr>
            <w:r w:rsidRPr="0070242E">
              <w:rPr>
                <w:b/>
              </w:rPr>
              <w:t>Alkalmazott újrafeldolgozási technológia az I. mellékletnek megfelelően</w:t>
            </w:r>
          </w:p>
        </w:tc>
        <w:tc>
          <w:tcPr>
            <w:tcW w:w="5244" w:type="dxa"/>
            <w:tcBorders>
              <w:top w:val="single" w:sz="4" w:space="0" w:color="auto"/>
              <w:left w:val="single" w:sz="4" w:space="0" w:color="auto"/>
              <w:bottom w:val="single" w:sz="4" w:space="0" w:color="auto"/>
              <w:right w:val="single" w:sz="4" w:space="0" w:color="auto"/>
            </w:tcBorders>
          </w:tcPr>
          <w:p w14:paraId="51D8BE33"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37418F95"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08C1B8A6" w14:textId="77777777" w:rsidR="00C1022E" w:rsidRPr="0070242E" w:rsidRDefault="00C1022E" w:rsidP="00CD037E">
            <w:pPr>
              <w:spacing w:before="40" w:after="40"/>
              <w:rPr>
                <w:rFonts w:eastAsia="Calibri" w:cs="Iskoola Pota"/>
                <w:b/>
              </w:rPr>
            </w:pPr>
            <w:r w:rsidRPr="0070242E">
              <w:rPr>
                <w:b/>
              </w:rPr>
              <w:t>EU-nyilvántartási szám (újrahasznosító létesítmény száma, RIN)</w:t>
            </w:r>
          </w:p>
        </w:tc>
        <w:tc>
          <w:tcPr>
            <w:tcW w:w="5244" w:type="dxa"/>
            <w:tcBorders>
              <w:top w:val="single" w:sz="4" w:space="0" w:color="auto"/>
              <w:left w:val="single" w:sz="4" w:space="0" w:color="auto"/>
              <w:bottom w:val="single" w:sz="4" w:space="0" w:color="auto"/>
              <w:right w:val="single" w:sz="4" w:space="0" w:color="auto"/>
            </w:tcBorders>
          </w:tcPr>
          <w:p w14:paraId="0AD562F2"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09E67FA6"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692E221E" w14:textId="77777777" w:rsidR="00C1022E" w:rsidRPr="0070242E" w:rsidRDefault="00C1022E" w:rsidP="00CD037E">
            <w:pPr>
              <w:spacing w:before="40" w:after="40"/>
              <w:rPr>
                <w:rFonts w:eastAsia="Calibri" w:cs="Iskoola Pota"/>
                <w:b/>
              </w:rPr>
            </w:pPr>
            <w:r w:rsidRPr="0070242E">
              <w:rPr>
                <w:b/>
              </w:rPr>
              <w:t>Az üzem címe</w:t>
            </w:r>
          </w:p>
        </w:tc>
        <w:tc>
          <w:tcPr>
            <w:tcW w:w="5244" w:type="dxa"/>
            <w:tcBorders>
              <w:top w:val="single" w:sz="4" w:space="0" w:color="auto"/>
              <w:left w:val="single" w:sz="4" w:space="0" w:color="auto"/>
              <w:bottom w:val="single" w:sz="4" w:space="0" w:color="auto"/>
              <w:right w:val="single" w:sz="4" w:space="0" w:color="auto"/>
            </w:tcBorders>
          </w:tcPr>
          <w:p w14:paraId="29DFCDCA" w14:textId="77777777" w:rsidR="00C1022E" w:rsidRPr="0070242E" w:rsidRDefault="00C1022E" w:rsidP="00CD037E">
            <w:pPr>
              <w:widowControl w:val="0"/>
              <w:spacing w:before="0" w:after="0"/>
              <w:jc w:val="left"/>
              <w:rPr>
                <w:rFonts w:ascii="Courier New" w:eastAsia="Calibri" w:hAnsi="Courier New" w:cs="Iskoola Pota"/>
                <w:sz w:val="22"/>
              </w:rPr>
            </w:pPr>
          </w:p>
        </w:tc>
      </w:tr>
      <w:tr w:rsidR="00C1022E" w:rsidRPr="0070242E" w14:paraId="17CEFA35"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tcPr>
          <w:p w14:paraId="6ABBBECC" w14:textId="77777777" w:rsidR="00C1022E" w:rsidRPr="0070242E" w:rsidRDefault="00C1022E" w:rsidP="00CD037E">
            <w:pPr>
              <w:spacing w:before="40" w:after="40"/>
              <w:rPr>
                <w:rFonts w:eastAsia="Calibri" w:cs="Iskoola Pota"/>
                <w:b/>
              </w:rPr>
            </w:pPr>
            <w:r w:rsidRPr="0070242E">
              <w:rPr>
                <w:b/>
              </w:rPr>
              <w:t>Az újrafeldolgozó üzem száma (RFN)</w:t>
            </w:r>
          </w:p>
        </w:tc>
        <w:tc>
          <w:tcPr>
            <w:tcW w:w="5244" w:type="dxa"/>
            <w:tcBorders>
              <w:top w:val="single" w:sz="4" w:space="0" w:color="auto"/>
              <w:left w:val="single" w:sz="4" w:space="0" w:color="auto"/>
              <w:bottom w:val="single" w:sz="4" w:space="0" w:color="auto"/>
              <w:right w:val="single" w:sz="4" w:space="0" w:color="auto"/>
            </w:tcBorders>
          </w:tcPr>
          <w:p w14:paraId="3F937A7E"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4E0D034D"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7A619333" w14:textId="77777777" w:rsidR="00C1022E" w:rsidRPr="0070242E" w:rsidRDefault="00C1022E" w:rsidP="00CD037E">
            <w:pPr>
              <w:spacing w:before="40" w:after="40"/>
              <w:rPr>
                <w:rFonts w:eastAsia="Calibri" w:cs="Iskoola Pota"/>
                <w:b/>
              </w:rPr>
            </w:pPr>
            <w:r w:rsidRPr="0070242E">
              <w:rPr>
                <w:b/>
              </w:rPr>
              <w:t>Elérhetőségek</w:t>
            </w:r>
          </w:p>
        </w:tc>
        <w:tc>
          <w:tcPr>
            <w:tcW w:w="5244" w:type="dxa"/>
            <w:tcBorders>
              <w:top w:val="single" w:sz="4" w:space="0" w:color="auto"/>
              <w:left w:val="single" w:sz="4" w:space="0" w:color="auto"/>
              <w:bottom w:val="single" w:sz="4" w:space="0" w:color="auto"/>
              <w:right w:val="single" w:sz="4" w:space="0" w:color="auto"/>
            </w:tcBorders>
          </w:tcPr>
          <w:p w14:paraId="0C590477"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694624FA"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6444720B" w14:textId="77777777" w:rsidR="00C1022E" w:rsidRPr="0070242E" w:rsidRDefault="00C1022E" w:rsidP="00CD037E">
            <w:pPr>
              <w:spacing w:before="40" w:after="40"/>
              <w:rPr>
                <w:rFonts w:eastAsia="Calibri" w:cs="Iskoola Pota"/>
                <w:b/>
              </w:rPr>
            </w:pPr>
            <w:r w:rsidRPr="0070242E">
              <w:rPr>
                <w:b/>
              </w:rPr>
              <w:t>A kapcsolattartó személyek beosztása/szerepköre</w:t>
            </w:r>
          </w:p>
        </w:tc>
        <w:tc>
          <w:tcPr>
            <w:tcW w:w="5244" w:type="dxa"/>
            <w:tcBorders>
              <w:top w:val="single" w:sz="4" w:space="0" w:color="auto"/>
              <w:left w:val="single" w:sz="4" w:space="0" w:color="auto"/>
              <w:bottom w:val="single" w:sz="4" w:space="0" w:color="auto"/>
              <w:right w:val="single" w:sz="4" w:space="0" w:color="auto"/>
            </w:tcBorders>
            <w:hideMark/>
          </w:tcPr>
          <w:p w14:paraId="30D7FE5E"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2D95D384"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430579F0" w14:textId="77777777" w:rsidR="00C1022E" w:rsidRPr="0070242E" w:rsidRDefault="00C1022E" w:rsidP="00CD037E">
            <w:pPr>
              <w:spacing w:before="40" w:after="40"/>
              <w:rPr>
                <w:rFonts w:eastAsia="Calibri" w:cs="Iskoola Pota"/>
                <w:b/>
              </w:rPr>
            </w:pPr>
            <w:r w:rsidRPr="0070242E">
              <w:rPr>
                <w:b/>
              </w:rPr>
              <w:t>Vonatkozó nemzeti nyilvántartási számok (ha vannak)</w:t>
            </w:r>
          </w:p>
        </w:tc>
        <w:tc>
          <w:tcPr>
            <w:tcW w:w="5244" w:type="dxa"/>
            <w:tcBorders>
              <w:top w:val="single" w:sz="4" w:space="0" w:color="auto"/>
              <w:left w:val="single" w:sz="4" w:space="0" w:color="auto"/>
              <w:bottom w:val="single" w:sz="4" w:space="0" w:color="auto"/>
              <w:right w:val="single" w:sz="4" w:space="0" w:color="auto"/>
            </w:tcBorders>
            <w:hideMark/>
          </w:tcPr>
          <w:p w14:paraId="4423D457"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04967AE5" w14:textId="77777777" w:rsidTr="00CD037E">
        <w:tc>
          <w:tcPr>
            <w:tcW w:w="2977" w:type="dxa"/>
            <w:tcBorders>
              <w:top w:val="single" w:sz="4" w:space="0" w:color="auto"/>
              <w:left w:val="single" w:sz="4" w:space="0" w:color="auto"/>
              <w:bottom w:val="single" w:sz="4" w:space="0" w:color="auto"/>
              <w:right w:val="single" w:sz="4" w:space="0" w:color="auto"/>
            </w:tcBorders>
          </w:tcPr>
          <w:p w14:paraId="67E0347C" w14:textId="77777777" w:rsidR="00C1022E" w:rsidRPr="0070242E" w:rsidRDefault="00C1022E" w:rsidP="00CD037E">
            <w:pPr>
              <w:spacing w:before="40" w:after="40"/>
              <w:rPr>
                <w:rFonts w:eastAsia="Calibri" w:cs="Iskoola Pota"/>
                <w:b/>
              </w:rPr>
            </w:pPr>
            <w:r w:rsidRPr="0070242E">
              <w:rPr>
                <w:b/>
              </w:rPr>
              <w:lastRenderedPageBreak/>
              <w:t>Az értesítés időpontja (a 25. cikk (1) bekezdésének a) pontja)</w:t>
            </w:r>
          </w:p>
        </w:tc>
        <w:tc>
          <w:tcPr>
            <w:tcW w:w="5244" w:type="dxa"/>
            <w:tcBorders>
              <w:top w:val="single" w:sz="4" w:space="0" w:color="auto"/>
              <w:left w:val="single" w:sz="4" w:space="0" w:color="auto"/>
              <w:bottom w:val="single" w:sz="4" w:space="0" w:color="auto"/>
              <w:right w:val="single" w:sz="4" w:space="0" w:color="auto"/>
            </w:tcBorders>
          </w:tcPr>
          <w:p w14:paraId="1F4A6878"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bl>
    <w:p w14:paraId="1BF5589E" w14:textId="77777777" w:rsidR="00C1022E" w:rsidRPr="0070242E" w:rsidRDefault="00C1022E" w:rsidP="00C1022E">
      <w:pPr>
        <w:pStyle w:val="ManualHeading2"/>
        <w:rPr>
          <w:rFonts w:eastAsia="Times New Roman"/>
          <w:bCs/>
          <w:szCs w:val="24"/>
        </w:rPr>
      </w:pPr>
      <w:r w:rsidRPr="0070242E">
        <w:t>1.2.</w:t>
      </w:r>
      <w:r w:rsidRPr="0070242E">
        <w:tab/>
        <w:t>Az újrafeldolgozást végző vállalat azonosítása</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244"/>
      </w:tblGrid>
      <w:tr w:rsidR="00C1022E" w:rsidRPr="0070242E" w14:paraId="565EAA36"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2E556C6F" w14:textId="77777777" w:rsidR="00C1022E" w:rsidRPr="0070242E" w:rsidRDefault="00C1022E" w:rsidP="00CD037E">
            <w:pPr>
              <w:spacing w:before="40" w:after="40"/>
              <w:rPr>
                <w:rFonts w:eastAsia="Calibri" w:cs="Iskoola Pota"/>
                <w:b/>
              </w:rPr>
            </w:pPr>
            <w:r w:rsidRPr="0070242E">
              <w:rPr>
                <w:b/>
              </w:rPr>
              <w:t>Cégnév</w:t>
            </w:r>
          </w:p>
        </w:tc>
        <w:tc>
          <w:tcPr>
            <w:tcW w:w="5244" w:type="dxa"/>
            <w:tcBorders>
              <w:top w:val="single" w:sz="4" w:space="0" w:color="auto"/>
              <w:left w:val="single" w:sz="4" w:space="0" w:color="auto"/>
              <w:bottom w:val="single" w:sz="4" w:space="0" w:color="auto"/>
              <w:right w:val="single" w:sz="4" w:space="0" w:color="auto"/>
            </w:tcBorders>
          </w:tcPr>
          <w:p w14:paraId="1E2D994C"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0825F2F7"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08B4BCE7" w14:textId="77777777" w:rsidR="00C1022E" w:rsidRPr="0070242E" w:rsidRDefault="00C1022E" w:rsidP="00CD037E">
            <w:pPr>
              <w:spacing w:before="40" w:after="40"/>
              <w:rPr>
                <w:rFonts w:eastAsia="Calibri" w:cs="Iskoola Pota"/>
                <w:b/>
              </w:rPr>
            </w:pPr>
            <w:r w:rsidRPr="0070242E">
              <w:rPr>
                <w:b/>
              </w:rPr>
              <w:t>EU-nyilvántartási szám (az újrafeldolgozást végző vállalkozó száma, RON)</w:t>
            </w:r>
          </w:p>
        </w:tc>
        <w:tc>
          <w:tcPr>
            <w:tcW w:w="5244" w:type="dxa"/>
            <w:tcBorders>
              <w:top w:val="single" w:sz="4" w:space="0" w:color="auto"/>
              <w:left w:val="single" w:sz="4" w:space="0" w:color="auto"/>
              <w:bottom w:val="single" w:sz="4" w:space="0" w:color="auto"/>
              <w:right w:val="single" w:sz="4" w:space="0" w:color="auto"/>
            </w:tcBorders>
          </w:tcPr>
          <w:p w14:paraId="18BF90E2"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714AF288"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32E69E6F" w14:textId="77777777" w:rsidR="00C1022E" w:rsidRPr="0070242E" w:rsidRDefault="00C1022E" w:rsidP="00CD037E">
            <w:pPr>
              <w:spacing w:before="40" w:after="40"/>
              <w:rPr>
                <w:rFonts w:eastAsia="Calibri" w:cs="Iskoola Pota"/>
                <w:b/>
              </w:rPr>
            </w:pPr>
            <w:r w:rsidRPr="0070242E">
              <w:rPr>
                <w:b/>
              </w:rPr>
              <w:t>A központi iroda címe</w:t>
            </w:r>
          </w:p>
        </w:tc>
        <w:tc>
          <w:tcPr>
            <w:tcW w:w="5244" w:type="dxa"/>
            <w:tcBorders>
              <w:top w:val="single" w:sz="4" w:space="0" w:color="auto"/>
              <w:left w:val="single" w:sz="4" w:space="0" w:color="auto"/>
              <w:bottom w:val="single" w:sz="4" w:space="0" w:color="auto"/>
              <w:right w:val="single" w:sz="4" w:space="0" w:color="auto"/>
            </w:tcBorders>
            <w:hideMark/>
          </w:tcPr>
          <w:p w14:paraId="5458E4B6"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6B835367"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63473222" w14:textId="77777777" w:rsidR="00C1022E" w:rsidRPr="0070242E" w:rsidRDefault="00C1022E" w:rsidP="00CD037E">
            <w:pPr>
              <w:spacing w:before="40" w:after="40"/>
              <w:rPr>
                <w:rFonts w:eastAsia="Calibri" w:cs="Iskoola Pota"/>
                <w:b/>
              </w:rPr>
            </w:pPr>
            <w:r w:rsidRPr="0070242E">
              <w:rPr>
                <w:b/>
              </w:rPr>
              <w:t>Elérhetőségek</w:t>
            </w:r>
          </w:p>
        </w:tc>
        <w:tc>
          <w:tcPr>
            <w:tcW w:w="5244" w:type="dxa"/>
            <w:tcBorders>
              <w:top w:val="single" w:sz="4" w:space="0" w:color="auto"/>
              <w:left w:val="single" w:sz="4" w:space="0" w:color="auto"/>
              <w:bottom w:val="single" w:sz="4" w:space="0" w:color="auto"/>
              <w:right w:val="single" w:sz="4" w:space="0" w:color="auto"/>
            </w:tcBorders>
            <w:hideMark/>
          </w:tcPr>
          <w:p w14:paraId="3D5B1D64"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00BE5F7B"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28237A99" w14:textId="77777777" w:rsidR="00C1022E" w:rsidRPr="0070242E" w:rsidRDefault="00C1022E" w:rsidP="00CD037E">
            <w:pPr>
              <w:spacing w:before="40" w:after="40"/>
              <w:rPr>
                <w:rFonts w:eastAsia="Calibri" w:cs="Iskoola Pota"/>
                <w:b/>
              </w:rPr>
            </w:pPr>
            <w:r w:rsidRPr="0070242E">
              <w:rPr>
                <w:b/>
              </w:rPr>
              <w:t>A fő kapcsolattartó személy beosztása/szerepköre</w:t>
            </w:r>
          </w:p>
        </w:tc>
        <w:tc>
          <w:tcPr>
            <w:tcW w:w="5244" w:type="dxa"/>
            <w:tcBorders>
              <w:top w:val="single" w:sz="4" w:space="0" w:color="auto"/>
              <w:left w:val="single" w:sz="4" w:space="0" w:color="auto"/>
              <w:bottom w:val="single" w:sz="4" w:space="0" w:color="auto"/>
              <w:right w:val="single" w:sz="4" w:space="0" w:color="auto"/>
            </w:tcBorders>
            <w:hideMark/>
          </w:tcPr>
          <w:p w14:paraId="742313E0"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29384E11"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2261A2C4" w14:textId="77777777" w:rsidR="00C1022E" w:rsidRPr="0070242E" w:rsidRDefault="00C1022E" w:rsidP="00CD037E">
            <w:pPr>
              <w:spacing w:before="40" w:after="40"/>
              <w:rPr>
                <w:rFonts w:eastAsia="Calibri" w:cs="Iskoola Pota"/>
                <w:b/>
              </w:rPr>
            </w:pPr>
            <w:r w:rsidRPr="0070242E">
              <w:rPr>
                <w:b/>
              </w:rPr>
              <w:t>Vonatkozó nemzeti nyilvántartási számok (ha vannak)</w:t>
            </w:r>
          </w:p>
        </w:tc>
        <w:tc>
          <w:tcPr>
            <w:tcW w:w="5244" w:type="dxa"/>
            <w:tcBorders>
              <w:top w:val="single" w:sz="4" w:space="0" w:color="auto"/>
              <w:left w:val="single" w:sz="4" w:space="0" w:color="auto"/>
              <w:bottom w:val="single" w:sz="4" w:space="0" w:color="auto"/>
              <w:right w:val="single" w:sz="4" w:space="0" w:color="auto"/>
            </w:tcBorders>
            <w:hideMark/>
          </w:tcPr>
          <w:p w14:paraId="16ADEBB5"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3F63B231"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7017B30F" w14:textId="77777777" w:rsidR="00C1022E" w:rsidRPr="0070242E" w:rsidRDefault="00C1022E" w:rsidP="00CD037E">
            <w:pPr>
              <w:spacing w:before="40" w:after="40"/>
              <w:rPr>
                <w:rFonts w:eastAsia="Calibri" w:cs="Iskoola Pota"/>
                <w:b/>
              </w:rPr>
            </w:pPr>
            <w:r w:rsidRPr="0070242E">
              <w:rPr>
                <w:b/>
              </w:rPr>
              <w:t>Engedélyes? (igen/nem/nem alkalmazandó)</w:t>
            </w:r>
          </w:p>
        </w:tc>
        <w:tc>
          <w:tcPr>
            <w:tcW w:w="5244" w:type="dxa"/>
            <w:tcBorders>
              <w:top w:val="single" w:sz="4" w:space="0" w:color="auto"/>
              <w:left w:val="single" w:sz="4" w:space="0" w:color="auto"/>
              <w:bottom w:val="single" w:sz="4" w:space="0" w:color="auto"/>
              <w:right w:val="single" w:sz="4" w:space="0" w:color="auto"/>
            </w:tcBorders>
            <w:hideMark/>
          </w:tcPr>
          <w:p w14:paraId="583D3694" w14:textId="77777777" w:rsidR="00C1022E" w:rsidRPr="0070242E" w:rsidRDefault="00C1022E" w:rsidP="00CD037E">
            <w:pPr>
              <w:widowControl w:val="0"/>
              <w:spacing w:before="0" w:after="0"/>
              <w:rPr>
                <w:rFonts w:ascii="Calibri" w:eastAsia="Calibri" w:hAnsi="Calibri"/>
                <w:color w:val="1F4E79"/>
                <w:szCs w:val="24"/>
              </w:rPr>
            </w:pPr>
          </w:p>
        </w:tc>
      </w:tr>
    </w:tbl>
    <w:p w14:paraId="6EB7E740" w14:textId="77777777" w:rsidR="00C1022E" w:rsidRPr="0070242E" w:rsidRDefault="00C1022E" w:rsidP="00C1022E">
      <w:pPr>
        <w:pStyle w:val="ManualHeading2"/>
        <w:rPr>
          <w:rFonts w:eastAsia="Times New Roman"/>
          <w:bCs/>
          <w:szCs w:val="24"/>
        </w:rPr>
      </w:pPr>
      <w:r w:rsidRPr="0070242E">
        <w:t>1.3.</w:t>
      </w:r>
      <w:r w:rsidRPr="0070242E">
        <w:tab/>
        <w:t>Az újrafeldolgozási eljárás engedélyezési határozata vagy új technológia</w:t>
      </w:r>
    </w:p>
    <w:p w14:paraId="202F8035" w14:textId="77777777" w:rsidR="00C1022E" w:rsidRPr="0070242E" w:rsidRDefault="00C1022E" w:rsidP="00C1022E">
      <w:pPr>
        <w:pStyle w:val="Text1"/>
        <w:rPr>
          <w:rFonts w:eastAsia="Calibri"/>
        </w:rPr>
      </w:pPr>
      <w:r w:rsidRPr="0070242E">
        <w:t>A: az engedélyezési határozat vagy a létesítmény által alkalmazott eljárás által használt új technológia azonosítása:</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9"/>
        <w:gridCol w:w="2232"/>
      </w:tblGrid>
      <w:tr w:rsidR="00C1022E" w:rsidRPr="0070242E" w14:paraId="15F66BAD" w14:textId="77777777" w:rsidTr="00CD037E">
        <w:tc>
          <w:tcPr>
            <w:tcW w:w="5989" w:type="dxa"/>
            <w:tcBorders>
              <w:top w:val="single" w:sz="4" w:space="0" w:color="auto"/>
              <w:left w:val="single" w:sz="4" w:space="0" w:color="auto"/>
              <w:bottom w:val="single" w:sz="4" w:space="0" w:color="auto"/>
              <w:right w:val="single" w:sz="4" w:space="0" w:color="auto"/>
            </w:tcBorders>
            <w:hideMark/>
          </w:tcPr>
          <w:p w14:paraId="595631C4" w14:textId="77777777" w:rsidR="00C1022E" w:rsidRPr="0070242E" w:rsidRDefault="00C1022E" w:rsidP="00CD037E">
            <w:pPr>
              <w:spacing w:before="40" w:after="40"/>
              <w:rPr>
                <w:rFonts w:eastAsia="Calibri" w:cs="Iskoola Pota"/>
                <w:b/>
              </w:rPr>
            </w:pPr>
            <w:r w:rsidRPr="0070242E">
              <w:rPr>
                <w:b/>
              </w:rPr>
              <w:t>EU-nyilvántartási szám, azaz az újrafeldolgozási eljárás engedélyezési száma (RAN), az új technológia száma (NTN)</w:t>
            </w:r>
          </w:p>
        </w:tc>
        <w:tc>
          <w:tcPr>
            <w:tcW w:w="2232" w:type="dxa"/>
            <w:tcBorders>
              <w:top w:val="single" w:sz="4" w:space="0" w:color="auto"/>
              <w:left w:val="single" w:sz="4" w:space="0" w:color="auto"/>
              <w:bottom w:val="single" w:sz="4" w:space="0" w:color="auto"/>
              <w:right w:val="single" w:sz="4" w:space="0" w:color="auto"/>
            </w:tcBorders>
            <w:hideMark/>
          </w:tcPr>
          <w:p w14:paraId="5AC0151A"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bl>
    <w:p w14:paraId="298D8E89" w14:textId="77777777" w:rsidR="00C1022E" w:rsidRPr="0070242E" w:rsidRDefault="00C1022E" w:rsidP="00C1022E">
      <w:pPr>
        <w:pStyle w:val="Text1"/>
        <w:rPr>
          <w:rFonts w:ascii="Calibri" w:eastAsia="Calibri" w:hAnsi="Calibri"/>
          <w:sz w:val="22"/>
        </w:rPr>
      </w:pPr>
      <w:r w:rsidRPr="0070242E">
        <w:t>B: engedélyes vagy új technológiafejlesztő –</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244"/>
      </w:tblGrid>
      <w:tr w:rsidR="00C1022E" w:rsidRPr="0070242E" w14:paraId="24562963"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36A1EA92" w14:textId="77777777" w:rsidR="00C1022E" w:rsidRPr="0070242E" w:rsidRDefault="00C1022E" w:rsidP="00CD037E">
            <w:pPr>
              <w:spacing w:before="40" w:after="40"/>
              <w:rPr>
                <w:rFonts w:eastAsia="Calibri" w:cs="Iskoola Pota"/>
                <w:b/>
              </w:rPr>
            </w:pPr>
            <w:r w:rsidRPr="0070242E">
              <w:rPr>
                <w:b/>
              </w:rPr>
              <w:t>Az engedélyes* / a technológiafejlesztő** neve (amelyik alkalmazandó)</w:t>
            </w:r>
          </w:p>
        </w:tc>
        <w:tc>
          <w:tcPr>
            <w:tcW w:w="5244" w:type="dxa"/>
            <w:tcBorders>
              <w:top w:val="single" w:sz="4" w:space="0" w:color="auto"/>
              <w:left w:val="single" w:sz="4" w:space="0" w:color="auto"/>
              <w:bottom w:val="single" w:sz="4" w:space="0" w:color="auto"/>
              <w:right w:val="single" w:sz="4" w:space="0" w:color="auto"/>
            </w:tcBorders>
            <w:hideMark/>
          </w:tcPr>
          <w:p w14:paraId="7CB0C3D8" w14:textId="77777777" w:rsidR="00C1022E" w:rsidRPr="0070242E" w:rsidRDefault="00C1022E" w:rsidP="00CD037E">
            <w:pPr>
              <w:widowControl w:val="0"/>
              <w:spacing w:before="0" w:after="0"/>
              <w:jc w:val="left"/>
              <w:rPr>
                <w:rFonts w:ascii="Courier New" w:eastAsia="Calibri" w:hAnsi="Courier New" w:cs="Iskoola Pota"/>
                <w:sz w:val="22"/>
              </w:rPr>
            </w:pPr>
          </w:p>
        </w:tc>
      </w:tr>
      <w:tr w:rsidR="00C1022E" w:rsidRPr="0070242E" w14:paraId="03F1B09A" w14:textId="77777777" w:rsidTr="00CD037E">
        <w:trPr>
          <w:trHeight w:val="420"/>
        </w:trPr>
        <w:tc>
          <w:tcPr>
            <w:tcW w:w="2977" w:type="dxa"/>
            <w:tcBorders>
              <w:top w:val="single" w:sz="4" w:space="0" w:color="auto"/>
              <w:left w:val="single" w:sz="4" w:space="0" w:color="auto"/>
              <w:bottom w:val="single" w:sz="4" w:space="0" w:color="auto"/>
              <w:right w:val="single" w:sz="4" w:space="0" w:color="auto"/>
            </w:tcBorders>
            <w:hideMark/>
          </w:tcPr>
          <w:p w14:paraId="187E6E71" w14:textId="77777777" w:rsidR="00C1022E" w:rsidRPr="0070242E" w:rsidRDefault="00C1022E" w:rsidP="00CD037E">
            <w:pPr>
              <w:spacing w:before="40" w:after="40"/>
              <w:rPr>
                <w:rFonts w:eastAsia="Calibri" w:cs="Iskoola Pota"/>
                <w:b/>
              </w:rPr>
            </w:pPr>
            <w:r w:rsidRPr="0070242E">
              <w:rPr>
                <w:b/>
              </w:rPr>
              <w:t>Cím</w:t>
            </w:r>
          </w:p>
        </w:tc>
        <w:tc>
          <w:tcPr>
            <w:tcW w:w="5244" w:type="dxa"/>
            <w:tcBorders>
              <w:top w:val="single" w:sz="4" w:space="0" w:color="auto"/>
              <w:left w:val="single" w:sz="4" w:space="0" w:color="auto"/>
              <w:bottom w:val="single" w:sz="4" w:space="0" w:color="auto"/>
              <w:right w:val="single" w:sz="4" w:space="0" w:color="auto"/>
            </w:tcBorders>
            <w:hideMark/>
          </w:tcPr>
          <w:p w14:paraId="455FB6B9" w14:textId="77777777" w:rsidR="00C1022E" w:rsidRPr="0070242E" w:rsidRDefault="00C1022E" w:rsidP="00CD037E">
            <w:pPr>
              <w:widowControl w:val="0"/>
              <w:spacing w:before="0" w:after="0"/>
              <w:jc w:val="left"/>
              <w:rPr>
                <w:rFonts w:ascii="Courier New" w:eastAsia="Calibri" w:hAnsi="Courier New" w:cs="Iskoola Pota"/>
                <w:sz w:val="22"/>
              </w:rPr>
            </w:pPr>
          </w:p>
        </w:tc>
      </w:tr>
      <w:tr w:rsidR="00C1022E" w:rsidRPr="0070242E" w14:paraId="25512F9F"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6A10ABCE" w14:textId="77777777" w:rsidR="00C1022E" w:rsidRPr="0070242E" w:rsidRDefault="00C1022E" w:rsidP="00CD037E">
            <w:pPr>
              <w:spacing w:before="40" w:after="40"/>
              <w:rPr>
                <w:rFonts w:eastAsia="Calibri" w:cs="Iskoola Pota"/>
                <w:b/>
              </w:rPr>
            </w:pPr>
            <w:r w:rsidRPr="0070242E">
              <w:rPr>
                <w:b/>
              </w:rPr>
              <w:t>Elérhetőségek</w:t>
            </w:r>
          </w:p>
        </w:tc>
        <w:tc>
          <w:tcPr>
            <w:tcW w:w="5244" w:type="dxa"/>
            <w:tcBorders>
              <w:top w:val="single" w:sz="4" w:space="0" w:color="auto"/>
              <w:left w:val="single" w:sz="4" w:space="0" w:color="auto"/>
              <w:bottom w:val="single" w:sz="4" w:space="0" w:color="auto"/>
              <w:right w:val="single" w:sz="4" w:space="0" w:color="auto"/>
            </w:tcBorders>
          </w:tcPr>
          <w:p w14:paraId="1C9BEFF4"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1706917E"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369CA148" w14:textId="77777777" w:rsidR="00C1022E" w:rsidRPr="0070242E" w:rsidRDefault="00C1022E" w:rsidP="00CD037E">
            <w:pPr>
              <w:spacing w:before="40" w:after="40"/>
              <w:rPr>
                <w:rFonts w:eastAsia="Calibri" w:cs="Iskoola Pota"/>
                <w:b/>
              </w:rPr>
            </w:pPr>
            <w:r w:rsidRPr="0070242E">
              <w:rPr>
                <w:b/>
              </w:rPr>
              <w:t>Beosztás/szerepkör</w:t>
            </w:r>
          </w:p>
        </w:tc>
        <w:tc>
          <w:tcPr>
            <w:tcW w:w="5244" w:type="dxa"/>
            <w:tcBorders>
              <w:top w:val="single" w:sz="4" w:space="0" w:color="auto"/>
              <w:left w:val="single" w:sz="4" w:space="0" w:color="auto"/>
              <w:bottom w:val="single" w:sz="4" w:space="0" w:color="auto"/>
              <w:right w:val="single" w:sz="4" w:space="0" w:color="auto"/>
            </w:tcBorders>
          </w:tcPr>
          <w:p w14:paraId="31E41BAD"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bl>
    <w:p w14:paraId="720859D9" w14:textId="77777777" w:rsidR="00C1022E" w:rsidRPr="0070242E" w:rsidRDefault="00C1022E" w:rsidP="00C1022E">
      <w:pPr>
        <w:pStyle w:val="Text1"/>
      </w:pPr>
      <w:r w:rsidRPr="0070242E">
        <w:t>* az engedélyes nevének és címének meg kell egyeznie az engedélyezési határozatban szereplővel.</w:t>
      </w:r>
    </w:p>
    <w:p w14:paraId="456BDA2F" w14:textId="77777777" w:rsidR="00C1022E" w:rsidRPr="0070242E" w:rsidRDefault="00C1022E" w:rsidP="00C1022E">
      <w:pPr>
        <w:pStyle w:val="Text1"/>
      </w:pPr>
      <w:r w:rsidRPr="0070242E">
        <w:t xml:space="preserve">**Az a technológiafejlesztő, amely a 10. cikk (2) bekezdésének megfelelően bejelentette a létesítmény által alkalmazott eljárás során alkalmazott új technológiát. </w:t>
      </w:r>
    </w:p>
    <w:p w14:paraId="559E1CC2" w14:textId="77777777" w:rsidR="00C1022E" w:rsidRPr="0070242E" w:rsidRDefault="00C1022E" w:rsidP="00C1022E">
      <w:pPr>
        <w:pStyle w:val="ManualHeading2"/>
        <w:rPr>
          <w:rFonts w:eastAsia="Times New Roman"/>
          <w:bCs/>
          <w:szCs w:val="24"/>
        </w:rPr>
      </w:pPr>
      <w:r w:rsidRPr="0070242E">
        <w:t>1.4.</w:t>
      </w:r>
      <w:r w:rsidRPr="0070242E">
        <w:tab/>
        <w:t>Az Európai Élelmiszerbiztonsági Hatóság (a továbbiakban: EFSA) által használt dokumentumhivatkozások</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244"/>
      </w:tblGrid>
      <w:tr w:rsidR="00C1022E" w:rsidRPr="0070242E" w14:paraId="6048EDFC"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2DC21698" w14:textId="77777777" w:rsidR="00C1022E" w:rsidRPr="0070242E" w:rsidRDefault="00C1022E" w:rsidP="00CD037E">
            <w:pPr>
              <w:spacing w:before="40" w:after="40"/>
              <w:rPr>
                <w:rFonts w:eastAsia="Calibri" w:cs="Iskoola Pota"/>
                <w:b/>
              </w:rPr>
            </w:pPr>
            <w:r w:rsidRPr="0070242E">
              <w:rPr>
                <w:b/>
              </w:rPr>
              <w:t>EFSA-kérdésszám</w:t>
            </w:r>
          </w:p>
        </w:tc>
        <w:tc>
          <w:tcPr>
            <w:tcW w:w="5244" w:type="dxa"/>
            <w:tcBorders>
              <w:top w:val="single" w:sz="4" w:space="0" w:color="auto"/>
              <w:left w:val="single" w:sz="4" w:space="0" w:color="auto"/>
              <w:bottom w:val="single" w:sz="4" w:space="0" w:color="auto"/>
              <w:right w:val="single" w:sz="4" w:space="0" w:color="auto"/>
            </w:tcBorders>
            <w:hideMark/>
          </w:tcPr>
          <w:p w14:paraId="09E99013"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5AC5F125"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68DEC884" w14:textId="77777777" w:rsidR="00C1022E" w:rsidRPr="0070242E" w:rsidRDefault="00C1022E" w:rsidP="00CD037E">
            <w:pPr>
              <w:spacing w:before="40" w:after="40"/>
              <w:rPr>
                <w:rFonts w:eastAsia="Calibri" w:cs="Iskoola Pota"/>
                <w:b/>
              </w:rPr>
            </w:pPr>
            <w:r w:rsidRPr="0070242E">
              <w:rPr>
                <w:b/>
              </w:rPr>
              <w:lastRenderedPageBreak/>
              <w:t xml:space="preserve">Az EFSA szakvéleménye közzétételének időpontja </w:t>
            </w:r>
          </w:p>
        </w:tc>
        <w:tc>
          <w:tcPr>
            <w:tcW w:w="5244" w:type="dxa"/>
            <w:tcBorders>
              <w:top w:val="single" w:sz="4" w:space="0" w:color="auto"/>
              <w:left w:val="single" w:sz="4" w:space="0" w:color="auto"/>
              <w:bottom w:val="single" w:sz="4" w:space="0" w:color="auto"/>
              <w:right w:val="single" w:sz="4" w:space="0" w:color="auto"/>
            </w:tcBorders>
            <w:hideMark/>
          </w:tcPr>
          <w:p w14:paraId="45BF6657"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0C70C218"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76C0F49A" w14:textId="77777777" w:rsidR="00C1022E" w:rsidRPr="0070242E" w:rsidRDefault="00C1022E" w:rsidP="00CD037E">
            <w:pPr>
              <w:spacing w:before="40" w:after="40"/>
              <w:rPr>
                <w:rFonts w:eastAsia="Calibri" w:cs="Iskoola Pota"/>
                <w:b/>
              </w:rPr>
            </w:pPr>
            <w:r w:rsidRPr="0070242E">
              <w:rPr>
                <w:b/>
              </w:rPr>
              <w:t>Az EFSA közzétételi száma (végső termék száma)</w:t>
            </w:r>
          </w:p>
        </w:tc>
        <w:tc>
          <w:tcPr>
            <w:tcW w:w="5244" w:type="dxa"/>
            <w:tcBorders>
              <w:top w:val="single" w:sz="4" w:space="0" w:color="auto"/>
              <w:left w:val="single" w:sz="4" w:space="0" w:color="auto"/>
              <w:bottom w:val="single" w:sz="4" w:space="0" w:color="auto"/>
              <w:right w:val="single" w:sz="4" w:space="0" w:color="auto"/>
            </w:tcBorders>
            <w:hideMark/>
          </w:tcPr>
          <w:p w14:paraId="6374A1D1"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3C878BF7"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5CD2CD29" w14:textId="77777777" w:rsidR="00C1022E" w:rsidRPr="0070242E" w:rsidRDefault="00C1022E" w:rsidP="00CD037E">
            <w:pPr>
              <w:spacing w:before="40" w:after="40"/>
              <w:rPr>
                <w:rFonts w:eastAsia="Calibri" w:cs="Iskoola Pota"/>
                <w:b/>
              </w:rPr>
            </w:pPr>
            <w:r w:rsidRPr="0070242E">
              <w:rPr>
                <w:b/>
              </w:rPr>
              <w:t>Titoktartási határozat száma</w:t>
            </w:r>
          </w:p>
        </w:tc>
        <w:tc>
          <w:tcPr>
            <w:tcW w:w="5244" w:type="dxa"/>
            <w:tcBorders>
              <w:top w:val="single" w:sz="4" w:space="0" w:color="auto"/>
              <w:left w:val="single" w:sz="4" w:space="0" w:color="auto"/>
              <w:bottom w:val="single" w:sz="4" w:space="0" w:color="auto"/>
              <w:right w:val="single" w:sz="4" w:space="0" w:color="auto"/>
            </w:tcBorders>
          </w:tcPr>
          <w:p w14:paraId="1E1591D0" w14:textId="77777777" w:rsidR="00C1022E" w:rsidRPr="0070242E" w:rsidRDefault="00C1022E" w:rsidP="00CD037E">
            <w:pPr>
              <w:widowControl w:val="0"/>
              <w:spacing w:before="0" w:after="0"/>
              <w:rPr>
                <w:rFonts w:ascii="Calibri" w:eastAsia="Calibri" w:hAnsi="Calibri"/>
                <w:color w:val="1F4E79"/>
                <w:szCs w:val="24"/>
              </w:rPr>
            </w:pPr>
          </w:p>
        </w:tc>
      </w:tr>
      <w:tr w:rsidR="00C1022E" w:rsidRPr="0070242E" w14:paraId="4B2C7798" w14:textId="77777777" w:rsidTr="00CD037E">
        <w:tc>
          <w:tcPr>
            <w:tcW w:w="2977" w:type="dxa"/>
            <w:tcBorders>
              <w:top w:val="single" w:sz="4" w:space="0" w:color="auto"/>
              <w:left w:val="single" w:sz="4" w:space="0" w:color="auto"/>
              <w:bottom w:val="single" w:sz="4" w:space="0" w:color="auto"/>
              <w:right w:val="single" w:sz="4" w:space="0" w:color="auto"/>
            </w:tcBorders>
            <w:hideMark/>
          </w:tcPr>
          <w:p w14:paraId="37114D6F" w14:textId="77777777" w:rsidR="00C1022E" w:rsidRPr="0070242E" w:rsidRDefault="00C1022E" w:rsidP="00CD037E">
            <w:pPr>
              <w:spacing w:before="40" w:after="40"/>
              <w:rPr>
                <w:rFonts w:eastAsia="Calibri" w:cs="Iskoola Pota"/>
                <w:b/>
              </w:rPr>
            </w:pPr>
            <w:r w:rsidRPr="0070242E">
              <w:rPr>
                <w:b/>
              </w:rPr>
              <w:t>Titoktartási határozat dátuma</w:t>
            </w:r>
          </w:p>
        </w:tc>
        <w:tc>
          <w:tcPr>
            <w:tcW w:w="5244" w:type="dxa"/>
            <w:tcBorders>
              <w:top w:val="single" w:sz="4" w:space="0" w:color="auto"/>
              <w:left w:val="single" w:sz="4" w:space="0" w:color="auto"/>
              <w:bottom w:val="single" w:sz="4" w:space="0" w:color="auto"/>
              <w:right w:val="single" w:sz="4" w:space="0" w:color="auto"/>
            </w:tcBorders>
          </w:tcPr>
          <w:p w14:paraId="2DD478D6" w14:textId="77777777" w:rsidR="00C1022E" w:rsidRPr="0070242E" w:rsidRDefault="00C1022E" w:rsidP="00CD037E">
            <w:pPr>
              <w:widowControl w:val="0"/>
              <w:spacing w:before="0" w:after="0"/>
              <w:rPr>
                <w:rFonts w:ascii="Calibri" w:eastAsia="Calibri" w:hAnsi="Calibri"/>
                <w:color w:val="1F4E79"/>
                <w:szCs w:val="24"/>
              </w:rPr>
            </w:pPr>
          </w:p>
        </w:tc>
      </w:tr>
    </w:tbl>
    <w:p w14:paraId="03F4D17F" w14:textId="77777777" w:rsidR="00C1022E" w:rsidRPr="0070242E" w:rsidRDefault="00C1022E" w:rsidP="00C1022E">
      <w:pPr>
        <w:pStyle w:val="ManualHeading2"/>
        <w:rPr>
          <w:rFonts w:eastAsia="Times New Roman"/>
          <w:bCs/>
          <w:szCs w:val="24"/>
        </w:rPr>
      </w:pPr>
      <w:r w:rsidRPr="0070242E">
        <w:t>1.5.</w:t>
      </w:r>
      <w:r w:rsidRPr="0070242E">
        <w:tab/>
        <w:t>Az újrafeldolgozó létesítmény üzemeltetéséért felelős további személy(ek)</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2443"/>
        <w:gridCol w:w="3517"/>
      </w:tblGrid>
      <w:tr w:rsidR="00C1022E" w:rsidRPr="0070242E" w14:paraId="2A8F60FE" w14:textId="77777777" w:rsidTr="00CD037E">
        <w:tc>
          <w:tcPr>
            <w:tcW w:w="2261" w:type="dxa"/>
            <w:tcBorders>
              <w:top w:val="single" w:sz="4" w:space="0" w:color="auto"/>
              <w:left w:val="single" w:sz="4" w:space="0" w:color="auto"/>
              <w:bottom w:val="single" w:sz="4" w:space="0" w:color="auto"/>
              <w:right w:val="single" w:sz="4" w:space="0" w:color="auto"/>
            </w:tcBorders>
            <w:hideMark/>
          </w:tcPr>
          <w:p w14:paraId="6215AF5B" w14:textId="77777777" w:rsidR="00C1022E" w:rsidRPr="0070242E" w:rsidRDefault="00C1022E" w:rsidP="00CD037E">
            <w:pPr>
              <w:spacing w:before="40" w:after="40"/>
              <w:rPr>
                <w:rFonts w:eastAsia="Calibri" w:cs="Iskoola Pota"/>
                <w:b/>
              </w:rPr>
            </w:pPr>
            <w:r w:rsidRPr="0070242E">
              <w:rPr>
                <w:b/>
              </w:rPr>
              <w:t xml:space="preserve">Név </w:t>
            </w:r>
          </w:p>
        </w:tc>
        <w:tc>
          <w:tcPr>
            <w:tcW w:w="2443" w:type="dxa"/>
            <w:tcBorders>
              <w:top w:val="single" w:sz="4" w:space="0" w:color="auto"/>
              <w:left w:val="single" w:sz="4" w:space="0" w:color="auto"/>
              <w:bottom w:val="single" w:sz="4" w:space="0" w:color="auto"/>
              <w:right w:val="single" w:sz="4" w:space="0" w:color="auto"/>
            </w:tcBorders>
            <w:hideMark/>
          </w:tcPr>
          <w:p w14:paraId="74F51511" w14:textId="77777777" w:rsidR="00C1022E" w:rsidRPr="0070242E" w:rsidRDefault="00C1022E" w:rsidP="00CD037E">
            <w:pPr>
              <w:spacing w:before="40" w:after="40"/>
              <w:rPr>
                <w:rFonts w:eastAsia="Calibri" w:cs="Iskoola Pota"/>
              </w:rPr>
            </w:pPr>
            <w:r w:rsidRPr="0070242E">
              <w:rPr>
                <w:b/>
              </w:rPr>
              <w:t>Beosztás/szerepkör</w:t>
            </w:r>
          </w:p>
        </w:tc>
        <w:tc>
          <w:tcPr>
            <w:tcW w:w="3517" w:type="dxa"/>
            <w:tcBorders>
              <w:top w:val="single" w:sz="4" w:space="0" w:color="auto"/>
              <w:left w:val="single" w:sz="4" w:space="0" w:color="auto"/>
              <w:bottom w:val="single" w:sz="4" w:space="0" w:color="auto"/>
              <w:right w:val="single" w:sz="4" w:space="0" w:color="auto"/>
            </w:tcBorders>
          </w:tcPr>
          <w:p w14:paraId="7936134D" w14:textId="77777777" w:rsidR="00C1022E" w:rsidRPr="0070242E" w:rsidRDefault="00C1022E" w:rsidP="00CD037E">
            <w:pPr>
              <w:spacing w:before="40" w:after="40"/>
              <w:rPr>
                <w:rFonts w:eastAsia="Calibri" w:cs="Iskoola Pota"/>
              </w:rPr>
            </w:pPr>
            <w:r w:rsidRPr="0070242E">
              <w:rPr>
                <w:b/>
              </w:rPr>
              <w:t>elérhetőségek</w:t>
            </w:r>
          </w:p>
        </w:tc>
      </w:tr>
      <w:tr w:rsidR="00C1022E" w:rsidRPr="0070242E" w14:paraId="75AF6802" w14:textId="77777777" w:rsidTr="00CD037E">
        <w:tc>
          <w:tcPr>
            <w:tcW w:w="2261" w:type="dxa"/>
            <w:tcBorders>
              <w:top w:val="single" w:sz="4" w:space="0" w:color="auto"/>
              <w:left w:val="single" w:sz="4" w:space="0" w:color="auto"/>
              <w:bottom w:val="single" w:sz="4" w:space="0" w:color="auto"/>
              <w:right w:val="single" w:sz="4" w:space="0" w:color="auto"/>
            </w:tcBorders>
            <w:hideMark/>
          </w:tcPr>
          <w:p w14:paraId="5988B907"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2443" w:type="dxa"/>
            <w:tcBorders>
              <w:top w:val="single" w:sz="4" w:space="0" w:color="auto"/>
              <w:left w:val="single" w:sz="4" w:space="0" w:color="auto"/>
              <w:bottom w:val="single" w:sz="4" w:space="0" w:color="auto"/>
              <w:right w:val="single" w:sz="4" w:space="0" w:color="auto"/>
            </w:tcBorders>
            <w:hideMark/>
          </w:tcPr>
          <w:p w14:paraId="6D2F29B1"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3517" w:type="dxa"/>
            <w:tcBorders>
              <w:top w:val="single" w:sz="4" w:space="0" w:color="auto"/>
              <w:left w:val="single" w:sz="4" w:space="0" w:color="auto"/>
              <w:bottom w:val="single" w:sz="4" w:space="0" w:color="auto"/>
              <w:right w:val="single" w:sz="4" w:space="0" w:color="auto"/>
            </w:tcBorders>
          </w:tcPr>
          <w:p w14:paraId="455F5792"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bl>
    <w:p w14:paraId="65360B1C" w14:textId="77777777" w:rsidR="00C1022E" w:rsidRPr="0070242E" w:rsidRDefault="00C1022E" w:rsidP="00C1022E">
      <w:pPr>
        <w:pStyle w:val="ManualHeading1"/>
        <w:rPr>
          <w:rFonts w:eastAsia="Times New Roman"/>
          <w:bCs/>
          <w:smallCaps w:val="0"/>
          <w:szCs w:val="24"/>
        </w:rPr>
      </w:pPr>
      <w:r w:rsidRPr="0070242E">
        <w:rPr>
          <w:bCs/>
          <w:smallCaps w:val="0"/>
          <w:szCs w:val="28"/>
        </w:rPr>
        <w:t>2.</w:t>
      </w:r>
      <w:r w:rsidRPr="0070242E">
        <w:tab/>
      </w:r>
      <w:r w:rsidRPr="0070242E">
        <w:rPr>
          <w:bCs/>
          <w:smallCaps w:val="0"/>
          <w:szCs w:val="28"/>
        </w:rPr>
        <w:t>2. szakasz: Az újrafeldolgozó létesítmény működése</w:t>
      </w:r>
    </w:p>
    <w:p w14:paraId="65553113" w14:textId="77777777" w:rsidR="00C1022E" w:rsidRPr="0070242E" w:rsidRDefault="00C1022E" w:rsidP="00C1022E">
      <w:pPr>
        <w:pStyle w:val="ManualHeading2"/>
        <w:rPr>
          <w:rFonts w:eastAsia="Times New Roman"/>
          <w:bCs/>
          <w:szCs w:val="26"/>
        </w:rPr>
      </w:pPr>
      <w:r w:rsidRPr="0070242E">
        <w:t>2.1.</w:t>
      </w:r>
      <w:r w:rsidRPr="0070242E">
        <w:tab/>
        <w:t>Írásos nyilatkozatok</w:t>
      </w:r>
    </w:p>
    <w:p w14:paraId="10488211" w14:textId="77777777" w:rsidR="00C1022E" w:rsidRPr="0070242E" w:rsidRDefault="00C1022E" w:rsidP="00C1022E">
      <w:pPr>
        <w:pStyle w:val="Text1"/>
      </w:pPr>
      <w:r w:rsidRPr="0070242E">
        <w:t xml:space="preserve">A szóközökkel együtt legfeljebb 3 000 karakter használható fel mind a 2.1.1., mind a 2.1.2. szakaszra. </w:t>
      </w:r>
    </w:p>
    <w:p w14:paraId="48B289B0" w14:textId="77777777" w:rsidR="00C1022E" w:rsidRPr="0070242E" w:rsidRDefault="00C1022E" w:rsidP="00C1022E">
      <w:pPr>
        <w:pStyle w:val="ManualHeading3"/>
      </w:pPr>
      <w:r w:rsidRPr="0070242E">
        <w:t>2.1.1</w:t>
      </w:r>
      <w:r w:rsidRPr="0070242E">
        <w:tab/>
        <w:t xml:space="preserve">Az újrafeldolgozást végző vállalatok nyilatkozata az újrafeldolgozott műanyag gyártásáról és minőségéről </w:t>
      </w:r>
    </w:p>
    <w:p w14:paraId="0458F1AB" w14:textId="77777777" w:rsidR="00C1022E" w:rsidRPr="0070242E" w:rsidRDefault="00C1022E" w:rsidP="00C1022E">
      <w:pPr>
        <w:pStyle w:val="ManualHeading3"/>
        <w:rPr>
          <w:rFonts w:eastAsia="Times New Roman"/>
          <w:bCs/>
        </w:rPr>
      </w:pPr>
      <w:r w:rsidRPr="0070242E">
        <w:t>2.1.2.</w:t>
      </w:r>
      <w:r w:rsidRPr="0070242E">
        <w:tab/>
        <w:t>Az újrafeldolgozást végző vállalat nyilatkozata az engedélyezett eljárásnak való megfelelésről</w:t>
      </w:r>
    </w:p>
    <w:p w14:paraId="633BE098" w14:textId="77777777" w:rsidR="00C1022E" w:rsidRPr="0070242E" w:rsidRDefault="00C1022E" w:rsidP="00C1022E">
      <w:pPr>
        <w:pStyle w:val="Text1"/>
        <w:rPr>
          <w:rFonts w:eastAsia="Times New Roman"/>
          <w:color w:val="000000"/>
          <w:szCs w:val="24"/>
        </w:rPr>
      </w:pPr>
      <w:r w:rsidRPr="0070242E">
        <w:rPr>
          <w:color w:val="000000"/>
          <w:szCs w:val="24"/>
        </w:rPr>
        <w:t>Ez a szakasz csak az engedélyezett eljárásokra vonatkozik.</w:t>
      </w:r>
    </w:p>
    <w:p w14:paraId="0B241F42" w14:textId="77777777" w:rsidR="00C1022E" w:rsidRPr="0070242E" w:rsidRDefault="00C1022E" w:rsidP="00C1022E">
      <w:pPr>
        <w:pStyle w:val="ManualHeading2"/>
        <w:rPr>
          <w:rFonts w:eastAsia="Times New Roman"/>
          <w:bCs/>
          <w:szCs w:val="24"/>
        </w:rPr>
      </w:pPr>
      <w:r w:rsidRPr="0070242E">
        <w:t>2.2.</w:t>
      </w:r>
      <w:r w:rsidRPr="0070242E">
        <w:tab/>
        <w:t>Újrafeldolgozási műveletek az újrafeldolgozó üzemben</w:t>
      </w:r>
    </w:p>
    <w:p w14:paraId="03CFDA02" w14:textId="77777777" w:rsidR="00C1022E" w:rsidRPr="0070242E" w:rsidRDefault="00C1022E" w:rsidP="00C1022E">
      <w:pPr>
        <w:pStyle w:val="Text1"/>
        <w:rPr>
          <w:rFonts w:eastAsia="Times New Roman"/>
          <w:bCs/>
          <w:szCs w:val="26"/>
        </w:rPr>
      </w:pPr>
      <w:r w:rsidRPr="0070242E">
        <w:t>Ebben a szakaszban a következő adatoknak kell szerepelniük:</w:t>
      </w:r>
    </w:p>
    <w:p w14:paraId="57EB2696" w14:textId="77777777" w:rsidR="00C1022E" w:rsidRPr="0070242E" w:rsidRDefault="00C1022E" w:rsidP="00C1022E">
      <w:pPr>
        <w:pStyle w:val="Tiret1"/>
      </w:pPr>
      <w:r w:rsidRPr="0070242E">
        <w:t>az újrafeldolgozási eljárás részét képező és az újrafeldolgozó üzemben végzett főbb gyártási szakaszok diagramja („helyszíni diagram”),</w:t>
      </w:r>
    </w:p>
    <w:p w14:paraId="73343A9B" w14:textId="77777777" w:rsidR="00C1022E" w:rsidRPr="0070242E" w:rsidRDefault="00C1022E" w:rsidP="00C1022E">
      <w:pPr>
        <w:pStyle w:val="Tiret1"/>
        <w:rPr>
          <w:rFonts w:eastAsia="Calibri"/>
          <w:b/>
          <w:bCs/>
          <w:szCs w:val="24"/>
        </w:rPr>
      </w:pPr>
      <w:r w:rsidRPr="0070242E">
        <w:t>az újrafeldolgozó üzemben végzett gyártási szakaszokat és az azokat összekötő anyagáramokat leíró táblázat, amely megfelel ennek a diagramnak.</w:t>
      </w:r>
    </w:p>
    <w:p w14:paraId="35B93EA6" w14:textId="77777777" w:rsidR="00C1022E" w:rsidRPr="0070242E" w:rsidRDefault="00C1022E" w:rsidP="00C1022E">
      <w:pPr>
        <w:pStyle w:val="ManualHeading3"/>
        <w:rPr>
          <w:rFonts w:eastAsia="Times New Roman"/>
          <w:bCs/>
        </w:rPr>
      </w:pPr>
      <w:r w:rsidRPr="0070242E">
        <w:t>2.2.1.</w:t>
      </w:r>
      <w:r w:rsidRPr="0070242E">
        <w:tab/>
        <w:t>Az újrafeldolgozó üzemben végzett főbb gyártási szakaszok diagramja (helyszíni diagram)</w:t>
      </w:r>
    </w:p>
    <w:p w14:paraId="1EA54757" w14:textId="77777777" w:rsidR="00C1022E" w:rsidRPr="0070242E" w:rsidRDefault="00C1022E" w:rsidP="00C1022E">
      <w:pPr>
        <w:pStyle w:val="ManualHeading3"/>
        <w:rPr>
          <w:rFonts w:eastAsia="Times New Roman"/>
          <w:bCs/>
        </w:rPr>
      </w:pPr>
      <w:r w:rsidRPr="0070242E">
        <w:rPr>
          <w:snapToGrid w:val="0"/>
          <w:szCs w:val="24"/>
        </w:rPr>
        <w:t>2.2.2.</w:t>
      </w:r>
      <w:r w:rsidRPr="0070242E">
        <w:tab/>
      </w:r>
      <w:r w:rsidRPr="0070242E">
        <w:rPr>
          <w:snapToGrid w:val="0"/>
          <w:szCs w:val="24"/>
        </w:rPr>
        <w:t>Az újrafeldolgozó üzemben végzett fő gyártási szakaszok és az azokat összekötő anyagáramok leírása</w:t>
      </w: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537"/>
        <w:gridCol w:w="4383"/>
        <w:gridCol w:w="1885"/>
      </w:tblGrid>
      <w:tr w:rsidR="00C1022E" w:rsidRPr="0070242E" w14:paraId="3BF29A47" w14:textId="77777777" w:rsidTr="00CD037E">
        <w:tc>
          <w:tcPr>
            <w:tcW w:w="594" w:type="pct"/>
            <w:shd w:val="clear" w:color="auto" w:fill="auto"/>
          </w:tcPr>
          <w:p w14:paraId="45AE90B3" w14:textId="77777777" w:rsidR="00C1022E" w:rsidRPr="0070242E" w:rsidRDefault="00C1022E" w:rsidP="00CD037E">
            <w:pPr>
              <w:spacing w:before="40" w:after="40" w:line="276" w:lineRule="auto"/>
              <w:jc w:val="center"/>
              <w:rPr>
                <w:rFonts w:eastAsia="Calibri"/>
                <w:b/>
                <w:sz w:val="20"/>
                <w:szCs w:val="20"/>
              </w:rPr>
            </w:pPr>
            <w:r w:rsidRPr="0070242E">
              <w:rPr>
                <w:b/>
                <w:sz w:val="20"/>
                <w:szCs w:val="20"/>
              </w:rPr>
              <w:t>Szakaszszám</w:t>
            </w:r>
          </w:p>
        </w:tc>
        <w:tc>
          <w:tcPr>
            <w:tcW w:w="886" w:type="pct"/>
            <w:shd w:val="clear" w:color="auto" w:fill="auto"/>
          </w:tcPr>
          <w:p w14:paraId="54F1F06D" w14:textId="77777777" w:rsidR="00C1022E" w:rsidRPr="0070242E" w:rsidRDefault="00C1022E" w:rsidP="00CD037E">
            <w:pPr>
              <w:spacing w:before="40" w:after="40" w:line="276" w:lineRule="auto"/>
              <w:jc w:val="center"/>
              <w:rPr>
                <w:rFonts w:eastAsia="Calibri"/>
                <w:b/>
                <w:sz w:val="20"/>
                <w:szCs w:val="20"/>
              </w:rPr>
            </w:pPr>
            <w:r w:rsidRPr="0070242E">
              <w:rPr>
                <w:b/>
                <w:sz w:val="20"/>
                <w:szCs w:val="20"/>
              </w:rPr>
              <w:t>Név</w:t>
            </w:r>
          </w:p>
        </w:tc>
        <w:tc>
          <w:tcPr>
            <w:tcW w:w="2444" w:type="pct"/>
            <w:shd w:val="clear" w:color="auto" w:fill="auto"/>
          </w:tcPr>
          <w:p w14:paraId="60A177C9" w14:textId="77777777" w:rsidR="00C1022E" w:rsidRPr="0070242E" w:rsidDel="002473C3" w:rsidRDefault="00C1022E" w:rsidP="00CD037E">
            <w:pPr>
              <w:spacing w:before="40" w:after="40" w:line="276" w:lineRule="auto"/>
              <w:jc w:val="center"/>
              <w:rPr>
                <w:rFonts w:eastAsia="Calibri"/>
                <w:b/>
                <w:sz w:val="20"/>
                <w:szCs w:val="20"/>
              </w:rPr>
            </w:pPr>
            <w:r w:rsidRPr="0070242E">
              <w:rPr>
                <w:b/>
                <w:sz w:val="20"/>
                <w:szCs w:val="20"/>
              </w:rPr>
              <w:t>Leírás</w:t>
            </w:r>
          </w:p>
        </w:tc>
        <w:tc>
          <w:tcPr>
            <w:tcW w:w="1076" w:type="pct"/>
          </w:tcPr>
          <w:p w14:paraId="2D7D5354" w14:textId="77777777" w:rsidR="00C1022E" w:rsidRPr="0070242E" w:rsidRDefault="00C1022E" w:rsidP="00CD037E">
            <w:pPr>
              <w:spacing w:before="40" w:after="40" w:line="276" w:lineRule="auto"/>
              <w:jc w:val="center"/>
              <w:rPr>
                <w:rFonts w:eastAsia="Calibri"/>
                <w:b/>
                <w:sz w:val="20"/>
                <w:szCs w:val="20"/>
              </w:rPr>
            </w:pPr>
            <w:r w:rsidRPr="0070242E">
              <w:rPr>
                <w:b/>
                <w:sz w:val="20"/>
                <w:szCs w:val="20"/>
              </w:rPr>
              <w:t>Átlagos éves feldolgozott tonnatartalom</w:t>
            </w:r>
          </w:p>
        </w:tc>
      </w:tr>
      <w:tr w:rsidR="00C1022E" w:rsidRPr="0070242E" w14:paraId="06873099" w14:textId="77777777" w:rsidTr="00CD037E">
        <w:tc>
          <w:tcPr>
            <w:tcW w:w="594" w:type="pct"/>
            <w:shd w:val="clear" w:color="auto" w:fill="auto"/>
          </w:tcPr>
          <w:p w14:paraId="65156AAF"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886" w:type="pct"/>
            <w:shd w:val="clear" w:color="auto" w:fill="auto"/>
          </w:tcPr>
          <w:p w14:paraId="01AAB410"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2444" w:type="pct"/>
            <w:shd w:val="clear" w:color="auto" w:fill="auto"/>
          </w:tcPr>
          <w:p w14:paraId="0CCA804A" w14:textId="77777777" w:rsidR="00C1022E" w:rsidRPr="0070242E" w:rsidRDefault="00C1022E" w:rsidP="00CD037E">
            <w:pPr>
              <w:widowControl w:val="0"/>
              <w:spacing w:before="0" w:after="0"/>
              <w:rPr>
                <w:rFonts w:ascii="Courier New" w:eastAsia="Calibri" w:hAnsi="Courier New"/>
                <w:color w:val="7030A0"/>
                <w:sz w:val="22"/>
                <w:szCs w:val="24"/>
              </w:rPr>
            </w:pPr>
          </w:p>
        </w:tc>
        <w:tc>
          <w:tcPr>
            <w:tcW w:w="1076" w:type="pct"/>
          </w:tcPr>
          <w:p w14:paraId="4FA84C62"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23C2898E" w14:textId="77777777" w:rsidTr="00CD037E">
        <w:tc>
          <w:tcPr>
            <w:tcW w:w="594" w:type="pct"/>
            <w:shd w:val="clear" w:color="auto" w:fill="auto"/>
          </w:tcPr>
          <w:p w14:paraId="0B602272"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886" w:type="pct"/>
            <w:shd w:val="clear" w:color="auto" w:fill="auto"/>
          </w:tcPr>
          <w:p w14:paraId="0216201F"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2444" w:type="pct"/>
            <w:shd w:val="clear" w:color="auto" w:fill="auto"/>
          </w:tcPr>
          <w:p w14:paraId="25DAFB49" w14:textId="77777777" w:rsidR="00C1022E" w:rsidRPr="0070242E" w:rsidRDefault="00C1022E" w:rsidP="00CD037E">
            <w:pPr>
              <w:widowControl w:val="0"/>
              <w:spacing w:before="0" w:after="0"/>
              <w:rPr>
                <w:rFonts w:ascii="Courier New" w:eastAsia="Calibri" w:hAnsi="Courier New"/>
                <w:color w:val="7030A0"/>
                <w:sz w:val="22"/>
                <w:szCs w:val="24"/>
              </w:rPr>
            </w:pPr>
          </w:p>
        </w:tc>
        <w:tc>
          <w:tcPr>
            <w:tcW w:w="1076" w:type="pct"/>
          </w:tcPr>
          <w:p w14:paraId="5CE6F7F0"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r w:rsidR="00C1022E" w:rsidRPr="0070242E" w14:paraId="75E2FB71" w14:textId="77777777" w:rsidTr="00CD037E">
        <w:tc>
          <w:tcPr>
            <w:tcW w:w="594" w:type="pct"/>
            <w:shd w:val="clear" w:color="auto" w:fill="auto"/>
          </w:tcPr>
          <w:p w14:paraId="7923DE7B" w14:textId="77777777" w:rsidR="00C1022E" w:rsidRPr="0070242E" w:rsidRDefault="00C1022E" w:rsidP="00CD037E">
            <w:pPr>
              <w:spacing w:before="40" w:after="40" w:line="276" w:lineRule="auto"/>
              <w:jc w:val="left"/>
              <w:rPr>
                <w:rFonts w:eastAsia="Calibri"/>
                <w:sz w:val="20"/>
                <w:szCs w:val="20"/>
              </w:rPr>
            </w:pPr>
            <w:r w:rsidRPr="0070242E">
              <w:rPr>
                <w:b/>
                <w:sz w:val="20"/>
                <w:szCs w:val="20"/>
              </w:rPr>
              <w:t>Az anyagáram száma</w:t>
            </w:r>
          </w:p>
        </w:tc>
        <w:tc>
          <w:tcPr>
            <w:tcW w:w="886" w:type="pct"/>
            <w:shd w:val="clear" w:color="auto" w:fill="auto"/>
          </w:tcPr>
          <w:p w14:paraId="701B02FA" w14:textId="77777777" w:rsidR="00C1022E" w:rsidRPr="0070242E" w:rsidRDefault="00C1022E" w:rsidP="00CD037E">
            <w:pPr>
              <w:spacing w:before="40" w:after="40" w:line="276" w:lineRule="auto"/>
              <w:jc w:val="left"/>
              <w:rPr>
                <w:rFonts w:eastAsia="Calibri"/>
                <w:sz w:val="20"/>
                <w:szCs w:val="20"/>
              </w:rPr>
            </w:pPr>
            <w:r w:rsidRPr="0070242E">
              <w:rPr>
                <w:b/>
                <w:sz w:val="20"/>
                <w:szCs w:val="20"/>
              </w:rPr>
              <w:t>Név</w:t>
            </w:r>
          </w:p>
        </w:tc>
        <w:tc>
          <w:tcPr>
            <w:tcW w:w="2444" w:type="pct"/>
            <w:shd w:val="clear" w:color="auto" w:fill="auto"/>
          </w:tcPr>
          <w:p w14:paraId="574E190B" w14:textId="77777777" w:rsidR="00C1022E" w:rsidRPr="0070242E" w:rsidRDefault="00C1022E" w:rsidP="00CD037E">
            <w:pPr>
              <w:spacing w:before="40" w:after="40" w:line="276" w:lineRule="auto"/>
              <w:jc w:val="left"/>
              <w:rPr>
                <w:rFonts w:eastAsia="Calibri"/>
                <w:sz w:val="20"/>
                <w:szCs w:val="20"/>
              </w:rPr>
            </w:pPr>
            <w:r w:rsidRPr="0070242E">
              <w:rPr>
                <w:b/>
                <w:sz w:val="20"/>
                <w:szCs w:val="20"/>
              </w:rPr>
              <w:t>Leírás</w:t>
            </w:r>
          </w:p>
        </w:tc>
        <w:tc>
          <w:tcPr>
            <w:tcW w:w="1076" w:type="pct"/>
          </w:tcPr>
          <w:p w14:paraId="6A23AE4F" w14:textId="77777777" w:rsidR="00C1022E" w:rsidRPr="0070242E" w:rsidRDefault="00C1022E" w:rsidP="00CD037E">
            <w:pPr>
              <w:spacing w:before="40" w:after="40" w:line="276" w:lineRule="auto"/>
              <w:jc w:val="left"/>
              <w:rPr>
                <w:rFonts w:eastAsia="Calibri"/>
                <w:sz w:val="20"/>
                <w:szCs w:val="20"/>
              </w:rPr>
            </w:pPr>
            <w:r w:rsidRPr="0070242E">
              <w:rPr>
                <w:b/>
                <w:sz w:val="20"/>
                <w:szCs w:val="20"/>
              </w:rPr>
              <w:t>Az anyagáram átlagos mérete</w:t>
            </w:r>
          </w:p>
        </w:tc>
      </w:tr>
      <w:tr w:rsidR="00C1022E" w:rsidRPr="0070242E" w14:paraId="4843F5F0" w14:textId="77777777" w:rsidTr="00CD037E">
        <w:tc>
          <w:tcPr>
            <w:tcW w:w="594" w:type="pct"/>
            <w:shd w:val="clear" w:color="auto" w:fill="auto"/>
          </w:tcPr>
          <w:p w14:paraId="1FD509BA"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886" w:type="pct"/>
            <w:shd w:val="clear" w:color="auto" w:fill="auto"/>
          </w:tcPr>
          <w:p w14:paraId="4AE2D8CC"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2444" w:type="pct"/>
            <w:shd w:val="clear" w:color="auto" w:fill="auto"/>
          </w:tcPr>
          <w:p w14:paraId="7BA3D4BC" w14:textId="77777777" w:rsidR="00C1022E" w:rsidRPr="0070242E" w:rsidRDefault="00C1022E" w:rsidP="00CD037E">
            <w:pPr>
              <w:widowControl w:val="0"/>
              <w:spacing w:before="0" w:after="0"/>
              <w:rPr>
                <w:rFonts w:ascii="Courier New" w:eastAsia="Calibri" w:hAnsi="Courier New"/>
                <w:color w:val="7030A0"/>
                <w:sz w:val="22"/>
                <w:szCs w:val="24"/>
              </w:rPr>
            </w:pPr>
          </w:p>
        </w:tc>
        <w:tc>
          <w:tcPr>
            <w:tcW w:w="1076" w:type="pct"/>
          </w:tcPr>
          <w:p w14:paraId="57252D34" w14:textId="77777777" w:rsidR="00C1022E" w:rsidRPr="0070242E" w:rsidRDefault="00C1022E" w:rsidP="00CD037E">
            <w:pPr>
              <w:widowControl w:val="0"/>
              <w:spacing w:before="0" w:after="0"/>
              <w:jc w:val="left"/>
              <w:rPr>
                <w:rFonts w:ascii="Courier New" w:eastAsia="Calibri" w:hAnsi="Courier New"/>
                <w:b/>
                <w:color w:val="7030A0"/>
                <w:sz w:val="22"/>
                <w:szCs w:val="24"/>
              </w:rPr>
            </w:pPr>
          </w:p>
        </w:tc>
      </w:tr>
      <w:tr w:rsidR="00C1022E" w:rsidRPr="0070242E" w14:paraId="277B4AB2" w14:textId="77777777" w:rsidTr="00CD037E">
        <w:tc>
          <w:tcPr>
            <w:tcW w:w="594" w:type="pct"/>
            <w:shd w:val="clear" w:color="auto" w:fill="auto"/>
          </w:tcPr>
          <w:p w14:paraId="723ECE0D"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886" w:type="pct"/>
            <w:shd w:val="clear" w:color="auto" w:fill="auto"/>
          </w:tcPr>
          <w:p w14:paraId="6E73CF11"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2444" w:type="pct"/>
            <w:shd w:val="clear" w:color="auto" w:fill="auto"/>
          </w:tcPr>
          <w:p w14:paraId="6BDBB33D" w14:textId="77777777" w:rsidR="00C1022E" w:rsidRPr="0070242E" w:rsidRDefault="00C1022E" w:rsidP="00CD037E">
            <w:pPr>
              <w:widowControl w:val="0"/>
              <w:spacing w:before="0" w:after="0"/>
              <w:rPr>
                <w:rFonts w:ascii="Courier New" w:eastAsia="Calibri" w:hAnsi="Courier New"/>
                <w:color w:val="7030A0"/>
                <w:sz w:val="22"/>
                <w:szCs w:val="24"/>
              </w:rPr>
            </w:pPr>
          </w:p>
        </w:tc>
        <w:tc>
          <w:tcPr>
            <w:tcW w:w="1076" w:type="pct"/>
          </w:tcPr>
          <w:p w14:paraId="667812EF" w14:textId="77777777" w:rsidR="00C1022E" w:rsidRPr="0070242E" w:rsidRDefault="00C1022E" w:rsidP="00CD037E">
            <w:pPr>
              <w:widowControl w:val="0"/>
              <w:spacing w:before="0" w:after="0"/>
              <w:jc w:val="left"/>
              <w:rPr>
                <w:rFonts w:ascii="Courier New" w:eastAsia="Calibri" w:hAnsi="Courier New"/>
                <w:color w:val="7030A0"/>
                <w:sz w:val="22"/>
                <w:szCs w:val="24"/>
              </w:rPr>
            </w:pPr>
          </w:p>
        </w:tc>
      </w:tr>
    </w:tbl>
    <w:p w14:paraId="0D260435" w14:textId="77777777" w:rsidR="00C1022E" w:rsidRPr="0070242E" w:rsidRDefault="00C1022E" w:rsidP="00C1022E">
      <w:pPr>
        <w:pStyle w:val="ManualHeading2"/>
        <w:rPr>
          <w:rFonts w:eastAsia="Times New Roman"/>
          <w:bCs/>
          <w:szCs w:val="26"/>
        </w:rPr>
      </w:pPr>
      <w:r w:rsidRPr="0070242E">
        <w:lastRenderedPageBreak/>
        <w:t>2.3.</w:t>
      </w:r>
      <w:r w:rsidRPr="0070242E">
        <w:tab/>
        <w:t>Belső dokumentumok</w:t>
      </w:r>
    </w:p>
    <w:p w14:paraId="067C2E8A" w14:textId="77777777" w:rsidR="00C1022E" w:rsidRPr="0070242E" w:rsidRDefault="00C1022E" w:rsidP="00C1022E">
      <w:pPr>
        <w:pStyle w:val="Text1"/>
        <w:rPr>
          <w:rFonts w:eastAsia="Calibri"/>
        </w:rPr>
      </w:pPr>
      <w:r w:rsidRPr="0070242E">
        <w:t>Rendelkezésre kell bocsátani az eljárás működése, a minőségirányítás és az ezekhez kapcsolódó egyéb adminisztratív eljárások szempontjából releváns dokumentumok, valamint az engedélyezéssel kapcsolatos dokumentumok átfogó listáját. A dokumentumokat meg kell számozni, és ezeket a számokat a 3. szakaszban ezekre a dokumentumokra való hivatkozásra kell használni. Az újrafeldolgozást végző vállalat</w:t>
      </w:r>
      <w:r w:rsidRPr="0070242E">
        <w:rPr>
          <w:i/>
        </w:rPr>
        <w:t xml:space="preserve"> </w:t>
      </w:r>
      <w:r w:rsidRPr="0070242E">
        <w:t>saját számozási rendszert alkalmazhat.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361"/>
        <w:gridCol w:w="1347"/>
        <w:gridCol w:w="1348"/>
        <w:gridCol w:w="1764"/>
        <w:gridCol w:w="1605"/>
      </w:tblGrid>
      <w:tr w:rsidR="00C1022E" w:rsidRPr="0070242E" w14:paraId="3720C278" w14:textId="77777777" w:rsidTr="00CD037E">
        <w:tc>
          <w:tcPr>
            <w:tcW w:w="604" w:type="pct"/>
          </w:tcPr>
          <w:p w14:paraId="651209F8"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Dokumentumtípus</w:t>
            </w:r>
          </w:p>
        </w:tc>
        <w:tc>
          <w:tcPr>
            <w:tcW w:w="604" w:type="pct"/>
            <w:shd w:val="clear" w:color="auto" w:fill="auto"/>
          </w:tcPr>
          <w:p w14:paraId="001564E3"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A dokumentum sorszáma</w:t>
            </w:r>
          </w:p>
        </w:tc>
        <w:tc>
          <w:tcPr>
            <w:tcW w:w="857" w:type="pct"/>
          </w:tcPr>
          <w:p w14:paraId="4FCBFA42"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Kapcsolódó gyártási szakasz</w:t>
            </w:r>
          </w:p>
        </w:tc>
        <w:tc>
          <w:tcPr>
            <w:tcW w:w="857" w:type="pct"/>
            <w:shd w:val="clear" w:color="auto" w:fill="auto"/>
          </w:tcPr>
          <w:p w14:paraId="5F4C8CBE"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Cím</w:t>
            </w:r>
          </w:p>
        </w:tc>
        <w:tc>
          <w:tcPr>
            <w:tcW w:w="1082" w:type="pct"/>
            <w:shd w:val="clear" w:color="auto" w:fill="auto"/>
          </w:tcPr>
          <w:p w14:paraId="16C0498A" w14:textId="77777777" w:rsidR="00C1022E" w:rsidRPr="0070242E" w:rsidDel="002473C3"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Leírás</w:t>
            </w:r>
          </w:p>
        </w:tc>
        <w:tc>
          <w:tcPr>
            <w:tcW w:w="997" w:type="pct"/>
          </w:tcPr>
          <w:p w14:paraId="69D1F7EA"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Dátum, verzió, szerző</w:t>
            </w:r>
          </w:p>
        </w:tc>
      </w:tr>
      <w:tr w:rsidR="00C1022E" w:rsidRPr="0070242E" w14:paraId="28509F34" w14:textId="77777777" w:rsidTr="00CD037E">
        <w:tc>
          <w:tcPr>
            <w:tcW w:w="604" w:type="pct"/>
          </w:tcPr>
          <w:p w14:paraId="7ED15619"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04" w:type="pct"/>
            <w:shd w:val="clear" w:color="auto" w:fill="auto"/>
          </w:tcPr>
          <w:p w14:paraId="3FE0FB7D"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57" w:type="pct"/>
          </w:tcPr>
          <w:p w14:paraId="351CAE5F"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57" w:type="pct"/>
            <w:shd w:val="clear" w:color="auto" w:fill="auto"/>
          </w:tcPr>
          <w:p w14:paraId="285A42B0"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082" w:type="pct"/>
            <w:shd w:val="clear" w:color="auto" w:fill="auto"/>
          </w:tcPr>
          <w:p w14:paraId="29BD1B0D"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997" w:type="pct"/>
          </w:tcPr>
          <w:p w14:paraId="56C395A4"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r w:rsidR="00C1022E" w:rsidRPr="0070242E" w14:paraId="0AB62FF6" w14:textId="77777777" w:rsidTr="00CD037E">
        <w:tc>
          <w:tcPr>
            <w:tcW w:w="604" w:type="pct"/>
          </w:tcPr>
          <w:p w14:paraId="37F85393"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04" w:type="pct"/>
            <w:shd w:val="clear" w:color="auto" w:fill="auto"/>
          </w:tcPr>
          <w:p w14:paraId="4CAB0565"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57" w:type="pct"/>
          </w:tcPr>
          <w:p w14:paraId="57FAC91C"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57" w:type="pct"/>
            <w:shd w:val="clear" w:color="auto" w:fill="auto"/>
          </w:tcPr>
          <w:p w14:paraId="4B0213B5"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082" w:type="pct"/>
            <w:shd w:val="clear" w:color="auto" w:fill="auto"/>
          </w:tcPr>
          <w:p w14:paraId="29BAED1C"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997" w:type="pct"/>
          </w:tcPr>
          <w:p w14:paraId="0327034C"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bl>
    <w:p w14:paraId="0A5AB070" w14:textId="77777777" w:rsidR="00C1022E" w:rsidRPr="0070242E" w:rsidRDefault="00C1022E" w:rsidP="00C1022E">
      <w:pPr>
        <w:rPr>
          <w:rFonts w:ascii="Calibri" w:eastAsia="Calibri" w:hAnsi="Calibri"/>
          <w:sz w:val="22"/>
        </w:rPr>
      </w:pPr>
    </w:p>
    <w:p w14:paraId="542F6868" w14:textId="77777777" w:rsidR="00C1022E" w:rsidRPr="0070242E" w:rsidRDefault="00C1022E" w:rsidP="00C1022E">
      <w:pPr>
        <w:pStyle w:val="ManualHeading2"/>
        <w:rPr>
          <w:rFonts w:eastAsia="Times New Roman"/>
          <w:bCs/>
          <w:szCs w:val="26"/>
        </w:rPr>
      </w:pPr>
      <w:r w:rsidRPr="0070242E">
        <w:t>2.4.</w:t>
      </w:r>
      <w:r w:rsidRPr="0070242E">
        <w:tab/>
        <w:t>A tétel meghatározása</w:t>
      </w:r>
    </w:p>
    <w:p w14:paraId="39C5436A" w14:textId="77777777" w:rsidR="00C1022E" w:rsidRPr="0070242E" w:rsidRDefault="00C1022E" w:rsidP="00C1022E">
      <w:pPr>
        <w:pStyle w:val="Text1"/>
        <w:rPr>
          <w:rFonts w:eastAsia="Times New Roman"/>
          <w:snapToGrid w:val="0"/>
          <w:szCs w:val="24"/>
        </w:rPr>
      </w:pPr>
      <w:r w:rsidRPr="0070242E">
        <w:rPr>
          <w:snapToGrid w:val="0"/>
          <w:szCs w:val="24"/>
        </w:rPr>
        <w:t>A következő tételeket az alábbi táblázatnak megfelelően kell meghatározni:</w:t>
      </w:r>
    </w:p>
    <w:p w14:paraId="5FB80017" w14:textId="77777777" w:rsidR="00C1022E" w:rsidRPr="0070242E" w:rsidRDefault="00C1022E" w:rsidP="00C1022E">
      <w:pPr>
        <w:pStyle w:val="Tiret1"/>
        <w:rPr>
          <w:snapToGrid w:val="0"/>
        </w:rPr>
      </w:pPr>
      <w:r w:rsidRPr="0070242E">
        <w:rPr>
          <w:b/>
          <w:snapToGrid w:val="0"/>
        </w:rPr>
        <w:t>bemeneti tétel</w:t>
      </w:r>
      <w:r w:rsidRPr="0070242E">
        <w:rPr>
          <w:snapToGrid w:val="0"/>
        </w:rPr>
        <w:t>: a beszállítóktól az újrafeldolgozó üzembe érkező feldolgozatlan műanyag,</w:t>
      </w:r>
    </w:p>
    <w:p w14:paraId="30E8503E" w14:textId="77777777" w:rsidR="00C1022E" w:rsidRPr="0070242E" w:rsidRDefault="00C1022E" w:rsidP="00C1022E">
      <w:pPr>
        <w:pStyle w:val="Tiret1"/>
        <w:rPr>
          <w:rFonts w:eastAsia="Times New Roman"/>
          <w:snapToGrid w:val="0"/>
          <w:szCs w:val="24"/>
        </w:rPr>
      </w:pPr>
      <w:r w:rsidRPr="0070242E">
        <w:rPr>
          <w:b/>
          <w:snapToGrid w:val="0"/>
          <w:szCs w:val="24"/>
        </w:rPr>
        <w:t>alapanyagtétel</w:t>
      </w:r>
      <w:r w:rsidRPr="0070242E">
        <w:rPr>
          <w:snapToGrid w:val="0"/>
          <w:szCs w:val="24"/>
        </w:rPr>
        <w:t>: az üzemben feldolgozott, a szennyeződésmentesítési szakaszban bekerülő műanyag alapanyag,</w:t>
      </w:r>
    </w:p>
    <w:p w14:paraId="5B5B24DA" w14:textId="77777777" w:rsidR="00C1022E" w:rsidRPr="0070242E" w:rsidRDefault="00C1022E" w:rsidP="00C1022E">
      <w:pPr>
        <w:pStyle w:val="Tiret1"/>
        <w:rPr>
          <w:rFonts w:eastAsia="Times New Roman"/>
          <w:snapToGrid w:val="0"/>
          <w:szCs w:val="24"/>
        </w:rPr>
      </w:pPr>
      <w:r w:rsidRPr="0070242E">
        <w:rPr>
          <w:b/>
          <w:snapToGrid w:val="0"/>
          <w:szCs w:val="24"/>
        </w:rPr>
        <w:t>Kimeneti tétel</w:t>
      </w:r>
      <w:r w:rsidRPr="0070242E">
        <w:rPr>
          <w:snapToGrid w:val="0"/>
          <w:szCs w:val="24"/>
        </w:rPr>
        <w:t>: a szennyeződésmentesítési szakaszból származó újrafeldolgozott műanyag, valamint</w:t>
      </w:r>
    </w:p>
    <w:p w14:paraId="52A1A03A" w14:textId="77777777" w:rsidR="00C1022E" w:rsidRPr="0070242E" w:rsidRDefault="00C1022E" w:rsidP="00C1022E">
      <w:pPr>
        <w:pStyle w:val="Tiret1"/>
        <w:rPr>
          <w:rFonts w:eastAsia="Times New Roman"/>
          <w:snapToGrid w:val="0"/>
          <w:szCs w:val="24"/>
        </w:rPr>
      </w:pPr>
      <w:r w:rsidRPr="0070242E">
        <w:rPr>
          <w:b/>
          <w:snapToGrid w:val="0"/>
          <w:szCs w:val="24"/>
        </w:rPr>
        <w:t>kilépő tétel</w:t>
      </w:r>
      <w:r w:rsidRPr="0070242E">
        <w:rPr>
          <w:snapToGrid w:val="0"/>
          <w:szCs w:val="24"/>
        </w:rPr>
        <w:t>: az üzemet további feldolgozás vagy felhasználás céljából elhagyó újrafeldolgozott műanyag (vagy újrafeldolgozott műanyagok és műanyag tárgyak),</w:t>
      </w:r>
    </w:p>
    <w:p w14:paraId="1D8CB387" w14:textId="77777777" w:rsidR="00C1022E" w:rsidRPr="0070242E" w:rsidRDefault="00C1022E" w:rsidP="00C1022E">
      <w:pPr>
        <w:pStyle w:val="Tiret1"/>
        <w:rPr>
          <w:rFonts w:eastAsia="Times New Roman"/>
          <w:snapToGrid w:val="0"/>
          <w:szCs w:val="24"/>
        </w:rPr>
      </w:pPr>
      <w:r w:rsidRPr="0070242E">
        <w:rPr>
          <w:snapToGrid w:val="0"/>
          <w:szCs w:val="24"/>
        </w:rPr>
        <w:t>bármely más, minőségértékelési ellenőrzésnek megfelelő közbenső tétel.</w:t>
      </w:r>
    </w:p>
    <w:p w14:paraId="39D00F72" w14:textId="77777777" w:rsidR="00C1022E" w:rsidRPr="0070242E" w:rsidRDefault="00C1022E" w:rsidP="00C1022E">
      <w:pPr>
        <w:pStyle w:val="Text1"/>
        <w:rPr>
          <w:rFonts w:eastAsia="Times New Roman"/>
          <w:snapToGrid w:val="0"/>
          <w:szCs w:val="24"/>
        </w:rPr>
      </w:pPr>
      <w:r w:rsidRPr="0070242E">
        <w:rPr>
          <w:snapToGrid w:val="0"/>
          <w:szCs w:val="24"/>
        </w:rPr>
        <w:t>Amennyiben a bemeneti tétel vagy az alapanyagtétel azért azonos, mert nem kerül sor további minőségértékelési ellenőrzésekre, csak az alapanyagtételt kell meghatározni. Ugyanezt a megközelítést kell alkalmazni a kimeneti és kilépő tételek esetében is. Amennyiben különböző típusú bemeneti és/vagy kilépő tételekről van szó, ezeket külön kell meghatározni, és azokat érdemi névvel kell ellátni.</w:t>
      </w:r>
    </w:p>
    <w:p w14:paraId="7DED543D" w14:textId="77777777" w:rsidR="00C1022E" w:rsidRPr="0070242E" w:rsidRDefault="00C1022E" w:rsidP="00C1022E">
      <w:pPr>
        <w:pStyle w:val="Text1"/>
        <w:rPr>
          <w:rFonts w:eastAsia="Times New Roman"/>
          <w:snapToGrid w:val="0"/>
          <w:szCs w:val="24"/>
        </w:rPr>
      </w:pPr>
      <w:r w:rsidRPr="0070242E">
        <w:rPr>
          <w:snapToGrid w:val="0"/>
          <w:szCs w:val="24"/>
        </w:rPr>
        <w:t>A minőségértékelést (QA) ugyanúgy el kell látni számozással, mint a helyszíni diagramon (2.2.1. szakasz).</w:t>
      </w:r>
    </w:p>
    <w:p w14:paraId="14C5A179" w14:textId="77777777" w:rsidR="00C1022E" w:rsidRPr="0070242E" w:rsidRDefault="00C1022E" w:rsidP="00C1022E">
      <w:pPr>
        <w:widowControl w:val="0"/>
        <w:spacing w:before="0" w:after="0"/>
        <w:rPr>
          <w:rFonts w:ascii="Calibri" w:eastAsia="Times New Roman" w:hAnsi="Calibri"/>
          <w:color w:val="1F4E79"/>
          <w:szCs w:val="24"/>
          <w:lang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81"/>
        <w:gridCol w:w="1294"/>
        <w:gridCol w:w="2581"/>
        <w:gridCol w:w="1161"/>
        <w:gridCol w:w="2094"/>
      </w:tblGrid>
      <w:tr w:rsidR="00C1022E" w:rsidRPr="0070242E" w14:paraId="2A36BC53" w14:textId="77777777" w:rsidTr="00CD037E">
        <w:tc>
          <w:tcPr>
            <w:tcW w:w="650" w:type="pct"/>
            <w:shd w:val="clear" w:color="auto" w:fill="auto"/>
          </w:tcPr>
          <w:p w14:paraId="7CD0556D"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A tétel típusa</w:t>
            </w:r>
          </w:p>
        </w:tc>
        <w:tc>
          <w:tcPr>
            <w:tcW w:w="677" w:type="pct"/>
          </w:tcPr>
          <w:p w14:paraId="5F6A38D2"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Belső</w:t>
            </w:r>
          </w:p>
          <w:p w14:paraId="0912C4CE"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A tétel neve</w:t>
            </w:r>
          </w:p>
        </w:tc>
        <w:tc>
          <w:tcPr>
            <w:tcW w:w="659" w:type="pct"/>
          </w:tcPr>
          <w:p w14:paraId="3014D79F"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Anyagáram-/QA-szám</w:t>
            </w:r>
          </w:p>
        </w:tc>
        <w:tc>
          <w:tcPr>
            <w:tcW w:w="1487" w:type="pct"/>
            <w:shd w:val="clear" w:color="auto" w:fill="auto"/>
          </w:tcPr>
          <w:p w14:paraId="2AA0BEDD"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Meghatározás/Leírás</w:t>
            </w:r>
          </w:p>
        </w:tc>
        <w:tc>
          <w:tcPr>
            <w:tcW w:w="629" w:type="pct"/>
            <w:shd w:val="clear" w:color="auto" w:fill="auto"/>
          </w:tcPr>
          <w:p w14:paraId="73C6DE6D" w14:textId="77777777" w:rsidR="00C1022E" w:rsidRPr="0070242E" w:rsidDel="002473C3"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Jellemző méretskála</w:t>
            </w:r>
          </w:p>
        </w:tc>
        <w:tc>
          <w:tcPr>
            <w:tcW w:w="898" w:type="pct"/>
          </w:tcPr>
          <w:p w14:paraId="2F4FFA01" w14:textId="77777777" w:rsidR="00C1022E" w:rsidRPr="0070242E" w:rsidRDefault="00C1022E" w:rsidP="00CD037E">
            <w:pPr>
              <w:widowControl w:val="0"/>
              <w:spacing w:before="40" w:after="40"/>
              <w:jc w:val="center"/>
              <w:rPr>
                <w:rFonts w:eastAsia="Times New Roman" w:cs="Iskoola Pota"/>
                <w:b/>
                <w:color w:val="000000"/>
                <w:sz w:val="20"/>
                <w:szCs w:val="20"/>
              </w:rPr>
            </w:pPr>
            <w:r w:rsidRPr="0070242E">
              <w:rPr>
                <w:b/>
                <w:color w:val="000000"/>
                <w:sz w:val="20"/>
                <w:szCs w:val="20"/>
              </w:rPr>
              <w:t>Nyomonkövethetőségi szabály</w:t>
            </w:r>
          </w:p>
        </w:tc>
      </w:tr>
      <w:tr w:rsidR="00C1022E" w:rsidRPr="0070242E" w14:paraId="79B2A403" w14:textId="77777777" w:rsidTr="00CD037E">
        <w:tc>
          <w:tcPr>
            <w:tcW w:w="650" w:type="pct"/>
            <w:shd w:val="clear" w:color="auto" w:fill="auto"/>
          </w:tcPr>
          <w:p w14:paraId="10E38C54"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77" w:type="pct"/>
          </w:tcPr>
          <w:p w14:paraId="048B33A2"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59" w:type="pct"/>
          </w:tcPr>
          <w:p w14:paraId="6B487B68"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487" w:type="pct"/>
            <w:shd w:val="clear" w:color="auto" w:fill="auto"/>
          </w:tcPr>
          <w:p w14:paraId="56B32F67"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29" w:type="pct"/>
            <w:shd w:val="clear" w:color="auto" w:fill="auto"/>
          </w:tcPr>
          <w:p w14:paraId="332E6E8A"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98" w:type="pct"/>
          </w:tcPr>
          <w:p w14:paraId="17538218"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r w:rsidR="00C1022E" w:rsidRPr="0070242E" w14:paraId="3A5D74E7" w14:textId="77777777" w:rsidTr="00CD037E">
        <w:tc>
          <w:tcPr>
            <w:tcW w:w="650" w:type="pct"/>
            <w:shd w:val="clear" w:color="auto" w:fill="auto"/>
          </w:tcPr>
          <w:p w14:paraId="554B0A5D"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77" w:type="pct"/>
          </w:tcPr>
          <w:p w14:paraId="3AD9749E"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59" w:type="pct"/>
          </w:tcPr>
          <w:p w14:paraId="435B9B47"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487" w:type="pct"/>
            <w:shd w:val="clear" w:color="auto" w:fill="auto"/>
          </w:tcPr>
          <w:p w14:paraId="2C60D061"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629" w:type="pct"/>
            <w:shd w:val="clear" w:color="auto" w:fill="auto"/>
          </w:tcPr>
          <w:p w14:paraId="1926EE0F"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898" w:type="pct"/>
          </w:tcPr>
          <w:p w14:paraId="0587809B"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bl>
    <w:p w14:paraId="2E5A9D68" w14:textId="77777777" w:rsidR="00C1022E" w:rsidRPr="0070242E" w:rsidRDefault="00C1022E" w:rsidP="00C1022E">
      <w:pPr>
        <w:rPr>
          <w:rFonts w:ascii="Calibri" w:eastAsia="Calibri" w:hAnsi="Calibri"/>
          <w:sz w:val="22"/>
        </w:rPr>
      </w:pPr>
    </w:p>
    <w:p w14:paraId="6555704D" w14:textId="77777777" w:rsidR="00C1022E" w:rsidRPr="0070242E" w:rsidRDefault="00C1022E" w:rsidP="00C1022E">
      <w:pPr>
        <w:pStyle w:val="ManualHeading2"/>
        <w:rPr>
          <w:rFonts w:eastAsia="Times New Roman"/>
          <w:bCs/>
          <w:szCs w:val="26"/>
        </w:rPr>
      </w:pPr>
      <w:r w:rsidRPr="0070242E">
        <w:t>2.5.</w:t>
      </w:r>
      <w:r w:rsidRPr="0070242E">
        <w:tab/>
        <w:t>A szennyeződésmentesítési létesítmény folyamatábrája</w:t>
      </w:r>
    </w:p>
    <w:p w14:paraId="19C22BCB" w14:textId="77777777" w:rsidR="00C1022E" w:rsidRPr="0070242E" w:rsidRDefault="00C1022E" w:rsidP="00C1022E">
      <w:pPr>
        <w:pStyle w:val="Text1"/>
        <w:rPr>
          <w:rFonts w:eastAsia="Calibri"/>
        </w:rPr>
      </w:pPr>
      <w:r w:rsidRPr="0070242E">
        <w:t>Az ISO 10628-1:2014 szabvány 4.4. pontjának megfelelően, az ISO 10628-2 szabvány figyelembevételével adjon meg egy csővezeték-elrendezési és műszerezési diagramot.</w:t>
      </w:r>
    </w:p>
    <w:p w14:paraId="4916BADA" w14:textId="77777777" w:rsidR="00C1022E" w:rsidRPr="0070242E" w:rsidRDefault="00C1022E" w:rsidP="00C1022E">
      <w:pPr>
        <w:pStyle w:val="ManualHeading2"/>
        <w:rPr>
          <w:rFonts w:eastAsia="Times New Roman"/>
          <w:bCs/>
          <w:szCs w:val="26"/>
        </w:rPr>
      </w:pPr>
      <w:r w:rsidRPr="0070242E">
        <w:lastRenderedPageBreak/>
        <w:t>2.6.</w:t>
      </w:r>
      <w:r w:rsidRPr="0070242E">
        <w:tab/>
        <w:t xml:space="preserve">A kritikus szennyeződésmentesítési műveletek ellenőrzése </w:t>
      </w:r>
    </w:p>
    <w:p w14:paraId="080B0834" w14:textId="77777777" w:rsidR="00C1022E" w:rsidRPr="0070242E" w:rsidRDefault="00C1022E" w:rsidP="00C1022E">
      <w:pPr>
        <w:pStyle w:val="Text1"/>
        <w:rPr>
          <w:rFonts w:eastAsia="Calibri"/>
        </w:rPr>
      </w:pPr>
      <w:r w:rsidRPr="0070242E">
        <w:t>Az alábbi táblázatnak tartalmaznia kell az EFSA által kritikusnak minősített lépésekre, szakaszokra vagy műveletekre való hivatkozást, az egyes kritikus paraméterekre vonatkozó ellenőrzési kritériumokat, az alkalmazott ellenőrző eszközöket, valamint az ellenőrzési kritérium meghiúsulása esetén hozott korrekciós intézkedések leírását. Az összetett ellenőrzési szabályok értékelésére vonatkozó további információkat adott esetben ki kell egészíteni.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17"/>
        <w:gridCol w:w="1560"/>
        <w:gridCol w:w="3117"/>
        <w:gridCol w:w="1702"/>
      </w:tblGrid>
      <w:tr w:rsidR="00C1022E" w:rsidRPr="0070242E" w14:paraId="693FF98A" w14:textId="77777777" w:rsidTr="00CD037E">
        <w:tc>
          <w:tcPr>
            <w:tcW w:w="1526" w:type="dxa"/>
            <w:tcBorders>
              <w:top w:val="single" w:sz="4" w:space="0" w:color="auto"/>
              <w:left w:val="single" w:sz="4" w:space="0" w:color="auto"/>
              <w:bottom w:val="single" w:sz="4" w:space="0" w:color="auto"/>
              <w:right w:val="single" w:sz="4" w:space="0" w:color="auto"/>
            </w:tcBorders>
            <w:vAlign w:val="center"/>
            <w:hideMark/>
          </w:tcPr>
          <w:p w14:paraId="2A465F8D" w14:textId="77777777" w:rsidR="00C1022E" w:rsidRPr="0070242E" w:rsidRDefault="00C1022E" w:rsidP="00CD037E">
            <w:pPr>
              <w:spacing w:before="40" w:after="40"/>
              <w:jc w:val="center"/>
              <w:rPr>
                <w:rFonts w:eastAsia="Calibri" w:cs="Iskoola Pota"/>
                <w:b/>
                <w:sz w:val="20"/>
              </w:rPr>
            </w:pPr>
            <w:r w:rsidRPr="0070242E">
              <w:rPr>
                <w:b/>
                <w:sz w:val="20"/>
              </w:rPr>
              <w:t>Kritikus működés (és hivatkozás az EFSA véleményére)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CC6196" w14:textId="77777777" w:rsidR="00C1022E" w:rsidRPr="0070242E" w:rsidRDefault="00C1022E" w:rsidP="00CD037E">
            <w:pPr>
              <w:spacing w:before="40" w:after="40"/>
              <w:jc w:val="center"/>
              <w:rPr>
                <w:rFonts w:eastAsia="Calibri" w:cs="Iskoola Pota"/>
                <w:b/>
                <w:sz w:val="20"/>
              </w:rPr>
            </w:pPr>
            <w:r w:rsidRPr="0070242E">
              <w:rPr>
                <w:b/>
                <w:sz w:val="20"/>
              </w:rPr>
              <w:t>Ellenőrzési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C8AEA2" w14:textId="77777777" w:rsidR="00C1022E" w:rsidRPr="0070242E" w:rsidRDefault="00C1022E" w:rsidP="00CD037E">
            <w:pPr>
              <w:spacing w:before="40" w:after="40"/>
              <w:jc w:val="center"/>
              <w:rPr>
                <w:rFonts w:eastAsia="Calibri" w:cs="Iskoola Pota"/>
                <w:b/>
                <w:i/>
                <w:sz w:val="20"/>
              </w:rPr>
            </w:pPr>
            <w:r w:rsidRPr="0070242E">
              <w:rPr>
                <w:b/>
                <w:sz w:val="20"/>
              </w:rPr>
              <w:t>Mérési vagy ellenőrzési</w:t>
            </w:r>
            <w:r w:rsidRPr="0070242E">
              <w:t xml:space="preserve"> </w:t>
            </w:r>
            <w:r w:rsidRPr="0070242E">
              <w:br/>
            </w:r>
            <w:r w:rsidRPr="0070242E">
              <w:rPr>
                <w:b/>
                <w:sz w:val="20"/>
              </w:rPr>
              <w:t>Eszköz (hivatkozás a 2.5. pontra)</w:t>
            </w:r>
          </w:p>
        </w:tc>
        <w:tc>
          <w:tcPr>
            <w:tcW w:w="3117" w:type="dxa"/>
            <w:tcBorders>
              <w:top w:val="single" w:sz="4" w:space="0" w:color="auto"/>
              <w:left w:val="single" w:sz="4" w:space="0" w:color="auto"/>
              <w:bottom w:val="single" w:sz="4" w:space="0" w:color="auto"/>
              <w:right w:val="single" w:sz="4" w:space="0" w:color="auto"/>
            </w:tcBorders>
            <w:vAlign w:val="center"/>
            <w:hideMark/>
          </w:tcPr>
          <w:p w14:paraId="44E028FC" w14:textId="77777777" w:rsidR="00C1022E" w:rsidRPr="0070242E" w:rsidRDefault="00C1022E" w:rsidP="00CD037E">
            <w:pPr>
              <w:spacing w:before="40" w:after="40"/>
              <w:jc w:val="center"/>
              <w:rPr>
                <w:rFonts w:eastAsia="Calibri" w:cs="Iskoola Pota"/>
                <w:b/>
                <w:sz w:val="20"/>
              </w:rPr>
            </w:pPr>
            <w:r w:rsidRPr="0070242E">
              <w:rPr>
                <w:b/>
                <w:sz w:val="20"/>
              </w:rPr>
              <w:t>Az ellenőrzési szabály be nem tartása esetén hozott korrekciós intézkedések rövid leírása</w:t>
            </w:r>
          </w:p>
        </w:tc>
        <w:tc>
          <w:tcPr>
            <w:tcW w:w="1702" w:type="dxa"/>
            <w:tcBorders>
              <w:top w:val="single" w:sz="4" w:space="0" w:color="auto"/>
              <w:left w:val="single" w:sz="4" w:space="0" w:color="auto"/>
              <w:bottom w:val="single" w:sz="4" w:space="0" w:color="auto"/>
              <w:right w:val="single" w:sz="4" w:space="0" w:color="auto"/>
            </w:tcBorders>
            <w:vAlign w:val="center"/>
            <w:hideMark/>
          </w:tcPr>
          <w:p w14:paraId="669124DC" w14:textId="77777777" w:rsidR="00C1022E" w:rsidRPr="0070242E" w:rsidRDefault="00C1022E" w:rsidP="00CD037E">
            <w:pPr>
              <w:spacing w:before="40" w:after="40"/>
              <w:jc w:val="center"/>
              <w:rPr>
                <w:rFonts w:eastAsia="Calibri" w:cs="Iskoola Pota"/>
                <w:b/>
                <w:sz w:val="20"/>
              </w:rPr>
            </w:pPr>
            <w:r w:rsidRPr="0070242E">
              <w:rPr>
                <w:b/>
                <w:sz w:val="20"/>
              </w:rPr>
              <w:t>SOP-kód</w:t>
            </w:r>
            <w:r w:rsidRPr="0070242E">
              <w:t xml:space="preserve"> </w:t>
            </w:r>
            <w:r w:rsidRPr="0070242E">
              <w:br/>
            </w:r>
            <w:r w:rsidRPr="0070242E">
              <w:rPr>
                <w:b/>
                <w:sz w:val="20"/>
              </w:rPr>
              <w:t xml:space="preserve">(SOPNr – DocNr) </w:t>
            </w:r>
          </w:p>
        </w:tc>
      </w:tr>
      <w:tr w:rsidR="00C1022E" w:rsidRPr="0070242E" w14:paraId="0D741138" w14:textId="77777777" w:rsidTr="00CD037E">
        <w:tc>
          <w:tcPr>
            <w:tcW w:w="1526" w:type="dxa"/>
            <w:tcBorders>
              <w:top w:val="single" w:sz="4" w:space="0" w:color="auto"/>
              <w:left w:val="single" w:sz="4" w:space="0" w:color="auto"/>
              <w:bottom w:val="single" w:sz="4" w:space="0" w:color="auto"/>
              <w:right w:val="single" w:sz="4" w:space="0" w:color="auto"/>
            </w:tcBorders>
            <w:shd w:val="clear" w:color="auto" w:fill="auto"/>
          </w:tcPr>
          <w:p w14:paraId="5655195E" w14:textId="77777777" w:rsidR="00C1022E" w:rsidRPr="0070242E" w:rsidRDefault="00C1022E" w:rsidP="00CD037E">
            <w:pPr>
              <w:widowControl w:val="0"/>
              <w:spacing w:before="0" w:after="0"/>
              <w:jc w:val="left"/>
              <w:rPr>
                <w:rFonts w:ascii="Courier New" w:eastAsia="Calibri" w:hAnsi="Courier New"/>
                <w:b/>
                <w:color w:val="7030A0"/>
                <w:sz w:val="22"/>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BB1D1E"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1560" w:type="dxa"/>
            <w:tcBorders>
              <w:top w:val="single" w:sz="4" w:space="0" w:color="auto"/>
              <w:left w:val="single" w:sz="4" w:space="0" w:color="auto"/>
              <w:bottom w:val="single" w:sz="4" w:space="0" w:color="auto"/>
              <w:right w:val="single" w:sz="4" w:space="0" w:color="auto"/>
            </w:tcBorders>
          </w:tcPr>
          <w:p w14:paraId="3A58C5F1" w14:textId="77777777" w:rsidR="00C1022E" w:rsidRPr="0070242E" w:rsidRDefault="00C1022E" w:rsidP="00CD037E">
            <w:pPr>
              <w:widowControl w:val="0"/>
              <w:spacing w:before="0" w:after="0"/>
              <w:jc w:val="left"/>
              <w:rPr>
                <w:rFonts w:ascii="Courier New" w:eastAsia="Calibri" w:hAnsi="Courier New"/>
                <w:color w:val="7030A0"/>
                <w:sz w:val="22"/>
                <w:szCs w:val="20"/>
              </w:rPr>
            </w:pPr>
          </w:p>
        </w:tc>
        <w:tc>
          <w:tcPr>
            <w:tcW w:w="3117" w:type="dxa"/>
            <w:tcBorders>
              <w:top w:val="single" w:sz="4" w:space="0" w:color="auto"/>
              <w:left w:val="single" w:sz="4" w:space="0" w:color="auto"/>
              <w:bottom w:val="single" w:sz="4" w:space="0" w:color="auto"/>
              <w:right w:val="single" w:sz="4" w:space="0" w:color="auto"/>
            </w:tcBorders>
            <w:shd w:val="clear" w:color="auto" w:fill="auto"/>
          </w:tcPr>
          <w:p w14:paraId="7AAE714F"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13DDDD6"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r w:rsidR="00C1022E" w:rsidRPr="0070242E" w14:paraId="097E6A45" w14:textId="77777777" w:rsidTr="00CD037E">
        <w:tc>
          <w:tcPr>
            <w:tcW w:w="1526" w:type="dxa"/>
            <w:tcBorders>
              <w:top w:val="single" w:sz="4" w:space="0" w:color="auto"/>
              <w:left w:val="single" w:sz="4" w:space="0" w:color="auto"/>
              <w:right w:val="single" w:sz="4" w:space="0" w:color="auto"/>
            </w:tcBorders>
            <w:shd w:val="clear" w:color="auto" w:fill="auto"/>
          </w:tcPr>
          <w:p w14:paraId="38C546D8" w14:textId="77777777" w:rsidR="00C1022E" w:rsidRPr="0070242E" w:rsidRDefault="00C1022E" w:rsidP="00CD037E">
            <w:pPr>
              <w:widowControl w:val="0"/>
              <w:spacing w:before="0" w:after="0"/>
              <w:jc w:val="left"/>
              <w:rPr>
                <w:rFonts w:ascii="Courier New" w:eastAsia="Calibri" w:hAnsi="Courier New"/>
                <w:b/>
                <w:color w:val="7030A0"/>
                <w:sz w:val="22"/>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3B9A79"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1560" w:type="dxa"/>
            <w:tcBorders>
              <w:top w:val="single" w:sz="4" w:space="0" w:color="auto"/>
              <w:left w:val="single" w:sz="4" w:space="0" w:color="auto"/>
              <w:bottom w:val="single" w:sz="4" w:space="0" w:color="auto"/>
              <w:right w:val="single" w:sz="4" w:space="0" w:color="auto"/>
            </w:tcBorders>
          </w:tcPr>
          <w:p w14:paraId="20A1CACF" w14:textId="77777777" w:rsidR="00C1022E" w:rsidRPr="0070242E" w:rsidRDefault="00C1022E" w:rsidP="00CD037E">
            <w:pPr>
              <w:widowControl w:val="0"/>
              <w:spacing w:before="0" w:after="0"/>
              <w:jc w:val="left"/>
              <w:rPr>
                <w:rFonts w:ascii="Courier New" w:eastAsia="Calibri" w:hAnsi="Courier New"/>
                <w:color w:val="7030A0"/>
                <w:sz w:val="22"/>
                <w:szCs w:val="20"/>
              </w:rPr>
            </w:pPr>
          </w:p>
        </w:tc>
        <w:tc>
          <w:tcPr>
            <w:tcW w:w="3117" w:type="dxa"/>
            <w:tcBorders>
              <w:top w:val="single" w:sz="4" w:space="0" w:color="auto"/>
              <w:left w:val="single" w:sz="4" w:space="0" w:color="auto"/>
              <w:bottom w:val="single" w:sz="4" w:space="0" w:color="auto"/>
              <w:right w:val="single" w:sz="4" w:space="0" w:color="auto"/>
            </w:tcBorders>
            <w:shd w:val="clear" w:color="auto" w:fill="auto"/>
          </w:tcPr>
          <w:p w14:paraId="79EE192D" w14:textId="77777777" w:rsidR="00C1022E" w:rsidRPr="0070242E" w:rsidRDefault="00C1022E" w:rsidP="00CD037E">
            <w:pPr>
              <w:widowControl w:val="0"/>
              <w:spacing w:before="0" w:after="0"/>
              <w:jc w:val="left"/>
              <w:rPr>
                <w:rFonts w:ascii="Courier New" w:eastAsia="Calibri" w:hAnsi="Courier New"/>
                <w:color w:val="7030A0"/>
                <w:sz w:val="22"/>
                <w:szCs w:val="24"/>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E48CA1C"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bl>
    <w:p w14:paraId="51BF813A" w14:textId="77777777" w:rsidR="00C1022E" w:rsidRPr="0070242E" w:rsidRDefault="00C1022E" w:rsidP="00C1022E">
      <w:pPr>
        <w:pStyle w:val="ManualHeading3"/>
        <w:rPr>
          <w:rFonts w:eastAsia="Times New Roman"/>
          <w:bCs/>
        </w:rPr>
      </w:pPr>
      <w:r w:rsidRPr="0070242E">
        <w:t>2.6.1.</w:t>
      </w:r>
      <w:r w:rsidRPr="0070242E">
        <w:tab/>
        <w:t>Adott esetben az összetett ellenőrzési szabályokra vonatkozó további információk</w:t>
      </w:r>
    </w:p>
    <w:p w14:paraId="3ACD75B2" w14:textId="77777777" w:rsidR="00C1022E" w:rsidRPr="0070242E" w:rsidRDefault="00C1022E" w:rsidP="00C1022E">
      <w:pPr>
        <w:pStyle w:val="ManualHeading2"/>
        <w:rPr>
          <w:rFonts w:eastAsia="Times New Roman"/>
          <w:bCs/>
          <w:szCs w:val="26"/>
        </w:rPr>
      </w:pPr>
      <w:r w:rsidRPr="0070242E">
        <w:t>2.7.</w:t>
      </w:r>
      <w:r w:rsidRPr="0070242E">
        <w:tab/>
        <w:t>A működésre vonatkozó hatályos műveleti utasítás</w:t>
      </w:r>
    </w:p>
    <w:p w14:paraId="77290F84" w14:textId="77777777" w:rsidR="00C1022E" w:rsidRPr="0070242E" w:rsidRDefault="00C1022E" w:rsidP="00C1022E">
      <w:pPr>
        <w:pStyle w:val="Text1"/>
        <w:rPr>
          <w:rFonts w:eastAsia="Calibri"/>
        </w:rPr>
      </w:pPr>
      <w:r w:rsidRPr="0070242E">
        <w:t>Az alábbi táblázatban hivatkozni kell a létesítmény üzemeltetéséhez használt minden egyes SOP-ra, rövid leírást kell adni azokról, és meg kell jelölni azt a helyet, ahol azokat végzik.</w:t>
      </w:r>
    </w:p>
    <w:tbl>
      <w:tblPr>
        <w:tblW w:w="80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4988"/>
        <w:gridCol w:w="1669"/>
      </w:tblGrid>
      <w:tr w:rsidR="00C1022E" w:rsidRPr="0070242E" w14:paraId="66FBA442" w14:textId="77777777" w:rsidTr="00CD037E">
        <w:tc>
          <w:tcPr>
            <w:tcW w:w="1366" w:type="dxa"/>
            <w:tcBorders>
              <w:top w:val="single" w:sz="4" w:space="0" w:color="auto"/>
              <w:left w:val="single" w:sz="4" w:space="0" w:color="auto"/>
              <w:bottom w:val="single" w:sz="4" w:space="0" w:color="auto"/>
              <w:right w:val="single" w:sz="4" w:space="0" w:color="auto"/>
            </w:tcBorders>
            <w:vAlign w:val="center"/>
            <w:hideMark/>
          </w:tcPr>
          <w:p w14:paraId="7D4543B2" w14:textId="77777777" w:rsidR="00C1022E" w:rsidRPr="0070242E" w:rsidRDefault="00C1022E" w:rsidP="00CD037E">
            <w:pPr>
              <w:spacing w:before="40" w:after="40"/>
              <w:jc w:val="center"/>
              <w:rPr>
                <w:rFonts w:eastAsia="Calibri" w:cs="Iskoola Pota"/>
                <w:b/>
                <w:sz w:val="22"/>
              </w:rPr>
            </w:pPr>
            <w:r w:rsidRPr="0070242E">
              <w:rPr>
                <w:sz w:val="20"/>
                <w:szCs w:val="20"/>
              </w:rPr>
              <w:t>SOP-kód</w:t>
            </w:r>
          </w:p>
        </w:tc>
        <w:tc>
          <w:tcPr>
            <w:tcW w:w="4988" w:type="dxa"/>
            <w:tcBorders>
              <w:top w:val="single" w:sz="4" w:space="0" w:color="auto"/>
              <w:left w:val="single" w:sz="4" w:space="0" w:color="auto"/>
              <w:bottom w:val="single" w:sz="4" w:space="0" w:color="auto"/>
              <w:right w:val="single" w:sz="4" w:space="0" w:color="auto"/>
            </w:tcBorders>
            <w:vAlign w:val="center"/>
            <w:hideMark/>
          </w:tcPr>
          <w:p w14:paraId="6542F088" w14:textId="77777777" w:rsidR="00C1022E" w:rsidRPr="0070242E" w:rsidRDefault="00C1022E" w:rsidP="00CD037E">
            <w:pPr>
              <w:spacing w:before="40" w:after="40"/>
              <w:jc w:val="center"/>
              <w:rPr>
                <w:rFonts w:eastAsia="Calibri" w:cs="Iskoola Pota"/>
                <w:sz w:val="20"/>
                <w:szCs w:val="20"/>
              </w:rPr>
            </w:pPr>
            <w:r w:rsidRPr="0070242E">
              <w:rPr>
                <w:sz w:val="20"/>
                <w:szCs w:val="20"/>
              </w:rPr>
              <w:t>Rövid leírás</w:t>
            </w:r>
          </w:p>
        </w:tc>
        <w:tc>
          <w:tcPr>
            <w:tcW w:w="1669" w:type="dxa"/>
            <w:tcBorders>
              <w:top w:val="single" w:sz="4" w:space="0" w:color="auto"/>
              <w:left w:val="single" w:sz="4" w:space="0" w:color="auto"/>
              <w:bottom w:val="single" w:sz="4" w:space="0" w:color="auto"/>
              <w:right w:val="single" w:sz="4" w:space="0" w:color="auto"/>
            </w:tcBorders>
            <w:hideMark/>
          </w:tcPr>
          <w:p w14:paraId="54128EC3" w14:textId="77777777" w:rsidR="00C1022E" w:rsidRPr="0070242E" w:rsidRDefault="00C1022E" w:rsidP="00CD037E">
            <w:pPr>
              <w:spacing w:before="40" w:after="40"/>
              <w:jc w:val="center"/>
              <w:rPr>
                <w:rFonts w:eastAsia="Calibri" w:cs="Iskoola Pota"/>
                <w:sz w:val="20"/>
                <w:szCs w:val="20"/>
              </w:rPr>
            </w:pPr>
            <w:r w:rsidRPr="0070242E">
              <w:rPr>
                <w:sz w:val="20"/>
                <w:szCs w:val="20"/>
              </w:rPr>
              <w:t>Hely)</w:t>
            </w:r>
          </w:p>
        </w:tc>
      </w:tr>
      <w:tr w:rsidR="00C1022E" w:rsidRPr="0070242E" w14:paraId="2A5563FC" w14:textId="77777777" w:rsidTr="00CD037E">
        <w:trPr>
          <w:trHeight w:val="528"/>
        </w:trPr>
        <w:tc>
          <w:tcPr>
            <w:tcW w:w="1366" w:type="dxa"/>
            <w:tcBorders>
              <w:top w:val="single" w:sz="4" w:space="0" w:color="auto"/>
              <w:left w:val="single" w:sz="4" w:space="0" w:color="auto"/>
              <w:bottom w:val="single" w:sz="4" w:space="0" w:color="auto"/>
              <w:right w:val="single" w:sz="4" w:space="0" w:color="auto"/>
            </w:tcBorders>
          </w:tcPr>
          <w:p w14:paraId="5ED95483"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4988" w:type="dxa"/>
            <w:tcBorders>
              <w:top w:val="single" w:sz="4" w:space="0" w:color="auto"/>
              <w:left w:val="single" w:sz="4" w:space="0" w:color="auto"/>
              <w:bottom w:val="single" w:sz="4" w:space="0" w:color="auto"/>
              <w:right w:val="single" w:sz="4" w:space="0" w:color="auto"/>
            </w:tcBorders>
          </w:tcPr>
          <w:p w14:paraId="528C0BF1"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1669" w:type="dxa"/>
            <w:tcBorders>
              <w:top w:val="single" w:sz="4" w:space="0" w:color="auto"/>
              <w:left w:val="single" w:sz="4" w:space="0" w:color="auto"/>
              <w:bottom w:val="single" w:sz="4" w:space="0" w:color="auto"/>
              <w:right w:val="single" w:sz="4" w:space="0" w:color="auto"/>
            </w:tcBorders>
          </w:tcPr>
          <w:p w14:paraId="61B2FB09"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bl>
    <w:p w14:paraId="28E97A9D" w14:textId="77777777" w:rsidR="00C1022E" w:rsidRPr="0070242E" w:rsidRDefault="00C1022E" w:rsidP="00C1022E">
      <w:pPr>
        <w:rPr>
          <w:rFonts w:eastAsia="Calibri"/>
          <w:szCs w:val="24"/>
          <w:lang w:eastAsia="en-GB"/>
        </w:rPr>
      </w:pPr>
    </w:p>
    <w:p w14:paraId="20119821" w14:textId="77777777" w:rsidR="00C1022E" w:rsidRPr="0070242E" w:rsidRDefault="00C1022E" w:rsidP="00C1022E">
      <w:pPr>
        <w:pStyle w:val="ManualHeading1"/>
        <w:rPr>
          <w:rFonts w:eastAsia="Times New Roman"/>
          <w:bCs/>
          <w:smallCaps w:val="0"/>
          <w:szCs w:val="28"/>
        </w:rPr>
      </w:pPr>
      <w:r w:rsidRPr="0070242E">
        <w:rPr>
          <w:bCs/>
          <w:smallCaps w:val="0"/>
          <w:szCs w:val="28"/>
        </w:rPr>
        <w:t>3.</w:t>
      </w:r>
      <w:r w:rsidRPr="0070242E">
        <w:tab/>
      </w:r>
      <w:r w:rsidRPr="0070242E">
        <w:rPr>
          <w:bCs/>
          <w:smallCaps w:val="0"/>
          <w:szCs w:val="28"/>
        </w:rPr>
        <w:t xml:space="preserve">3. szakasz: </w:t>
      </w:r>
      <w:r w:rsidRPr="0070242E">
        <w:rPr>
          <w:smallCaps w:val="0"/>
        </w:rPr>
        <w:t>Minőségértékelés</w:t>
      </w:r>
      <w:r w:rsidRPr="0070242E">
        <w:rPr>
          <w:bCs/>
          <w:smallCaps w:val="0"/>
          <w:szCs w:val="28"/>
        </w:rPr>
        <w:t xml:space="preserve"> </w:t>
      </w:r>
    </w:p>
    <w:p w14:paraId="5E05DB37" w14:textId="77777777" w:rsidR="00C1022E" w:rsidRPr="0070242E" w:rsidRDefault="00C1022E" w:rsidP="00C1022E">
      <w:pPr>
        <w:pStyle w:val="ManualHeading2"/>
        <w:rPr>
          <w:rFonts w:eastAsia="Times New Roman"/>
          <w:bCs/>
          <w:szCs w:val="26"/>
        </w:rPr>
      </w:pPr>
      <w:r w:rsidRPr="0070242E">
        <w:t>3.1.</w:t>
      </w:r>
      <w:r w:rsidRPr="0070242E">
        <w:tab/>
        <w:t xml:space="preserve">A minőségértékelési szakaszok listája </w:t>
      </w:r>
    </w:p>
    <w:p w14:paraId="21B7B3C9" w14:textId="77777777" w:rsidR="00C1022E" w:rsidRPr="0070242E" w:rsidRDefault="00C1022E" w:rsidP="00C1022E">
      <w:pPr>
        <w:pStyle w:val="Text1"/>
        <w:rPr>
          <w:rFonts w:eastAsia="Calibri"/>
        </w:rPr>
      </w:pPr>
      <w:r w:rsidRPr="0070242E">
        <w:t>Az egyes minőségértékelési szakaszokat az alábbi táblázat segítségével kell leírni:</w:t>
      </w:r>
    </w:p>
    <w:tbl>
      <w:tblPr>
        <w:tblpPr w:leftFromText="180" w:rightFromText="180" w:vertAnchor="text" w:horzAnchor="margin" w:tblpY="2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016"/>
        <w:gridCol w:w="2777"/>
        <w:gridCol w:w="1094"/>
        <w:gridCol w:w="1526"/>
        <w:gridCol w:w="1080"/>
      </w:tblGrid>
      <w:tr w:rsidR="00C1022E" w:rsidRPr="0070242E" w14:paraId="125FD689" w14:textId="77777777" w:rsidTr="00CD037E">
        <w:tc>
          <w:tcPr>
            <w:tcW w:w="493" w:type="pct"/>
            <w:tcBorders>
              <w:top w:val="single" w:sz="4" w:space="0" w:color="auto"/>
              <w:left w:val="single" w:sz="4" w:space="0" w:color="auto"/>
              <w:bottom w:val="single" w:sz="4" w:space="0" w:color="auto"/>
              <w:right w:val="single" w:sz="4" w:space="0" w:color="auto"/>
            </w:tcBorders>
          </w:tcPr>
          <w:p w14:paraId="1F78E197" w14:textId="77777777" w:rsidR="00C1022E" w:rsidRPr="0070242E" w:rsidRDefault="00C1022E" w:rsidP="00CD037E">
            <w:pPr>
              <w:spacing w:before="40" w:after="40"/>
              <w:jc w:val="center"/>
              <w:rPr>
                <w:rFonts w:eastAsia="Calibri" w:cs="Iskoola Pota"/>
                <w:b/>
                <w:sz w:val="20"/>
                <w:szCs w:val="20"/>
              </w:rPr>
            </w:pPr>
            <w:r w:rsidRPr="0070242E">
              <w:rPr>
                <w:b/>
                <w:sz w:val="20"/>
                <w:szCs w:val="20"/>
              </w:rPr>
              <w:t>Minőségértékelési szakasz és szám</w:t>
            </w:r>
          </w:p>
        </w:tc>
        <w:tc>
          <w:tcPr>
            <w:tcW w:w="659" w:type="pct"/>
            <w:tcBorders>
              <w:top w:val="single" w:sz="4" w:space="0" w:color="auto"/>
              <w:left w:val="single" w:sz="4" w:space="0" w:color="auto"/>
              <w:bottom w:val="single" w:sz="4" w:space="0" w:color="auto"/>
              <w:right w:val="single" w:sz="4" w:space="0" w:color="auto"/>
            </w:tcBorders>
            <w:hideMark/>
          </w:tcPr>
          <w:p w14:paraId="7B7320D7" w14:textId="77777777" w:rsidR="00C1022E" w:rsidRPr="0070242E" w:rsidRDefault="00C1022E" w:rsidP="00CD037E">
            <w:pPr>
              <w:spacing w:before="40" w:after="40"/>
              <w:jc w:val="center"/>
              <w:rPr>
                <w:rFonts w:eastAsia="Calibri" w:cs="Iskoola Pota"/>
                <w:b/>
                <w:sz w:val="20"/>
                <w:szCs w:val="20"/>
              </w:rPr>
            </w:pPr>
            <w:r w:rsidRPr="0070242E">
              <w:rPr>
                <w:b/>
                <w:sz w:val="20"/>
                <w:szCs w:val="20"/>
              </w:rPr>
              <w:t>Értékelés neve</w:t>
            </w:r>
          </w:p>
        </w:tc>
        <w:tc>
          <w:tcPr>
            <w:tcW w:w="1626" w:type="pct"/>
            <w:tcBorders>
              <w:top w:val="single" w:sz="4" w:space="0" w:color="auto"/>
              <w:left w:val="single" w:sz="4" w:space="0" w:color="auto"/>
              <w:bottom w:val="single" w:sz="4" w:space="0" w:color="auto"/>
              <w:right w:val="single" w:sz="4" w:space="0" w:color="auto"/>
            </w:tcBorders>
            <w:hideMark/>
          </w:tcPr>
          <w:p w14:paraId="0ABFC0C9" w14:textId="77777777" w:rsidR="00C1022E" w:rsidRPr="0070242E" w:rsidRDefault="00C1022E" w:rsidP="00CD037E">
            <w:pPr>
              <w:spacing w:before="40" w:after="40"/>
              <w:jc w:val="center"/>
              <w:rPr>
                <w:rFonts w:eastAsia="Calibri" w:cs="Iskoola Pota"/>
                <w:b/>
                <w:sz w:val="20"/>
                <w:szCs w:val="20"/>
              </w:rPr>
            </w:pPr>
            <w:r w:rsidRPr="0070242E">
              <w:rPr>
                <w:b/>
                <w:sz w:val="20"/>
                <w:szCs w:val="20"/>
              </w:rPr>
              <w:t>Meghatározás/Leírás</w:t>
            </w:r>
          </w:p>
        </w:tc>
        <w:tc>
          <w:tcPr>
            <w:tcW w:w="580" w:type="pct"/>
            <w:tcBorders>
              <w:top w:val="single" w:sz="4" w:space="0" w:color="auto"/>
              <w:left w:val="single" w:sz="4" w:space="0" w:color="auto"/>
              <w:bottom w:val="single" w:sz="4" w:space="0" w:color="auto"/>
              <w:right w:val="single" w:sz="4" w:space="0" w:color="auto"/>
            </w:tcBorders>
            <w:hideMark/>
          </w:tcPr>
          <w:p w14:paraId="7953890D" w14:textId="77777777" w:rsidR="00C1022E" w:rsidRPr="0070242E" w:rsidRDefault="00C1022E" w:rsidP="00CD037E">
            <w:pPr>
              <w:spacing w:before="40" w:after="40"/>
              <w:jc w:val="center"/>
              <w:rPr>
                <w:rFonts w:eastAsia="Calibri" w:cs="Iskoola Pota"/>
                <w:b/>
                <w:sz w:val="20"/>
                <w:szCs w:val="20"/>
              </w:rPr>
            </w:pPr>
            <w:r w:rsidRPr="0070242E">
              <w:rPr>
                <w:b/>
                <w:sz w:val="20"/>
                <w:szCs w:val="20"/>
              </w:rPr>
              <w:t>Kritérium</w:t>
            </w:r>
          </w:p>
        </w:tc>
        <w:tc>
          <w:tcPr>
            <w:tcW w:w="942" w:type="pct"/>
            <w:tcBorders>
              <w:top w:val="single" w:sz="4" w:space="0" w:color="auto"/>
              <w:left w:val="single" w:sz="4" w:space="0" w:color="auto"/>
              <w:bottom w:val="single" w:sz="4" w:space="0" w:color="auto"/>
              <w:right w:val="single" w:sz="4" w:space="0" w:color="auto"/>
            </w:tcBorders>
            <w:hideMark/>
          </w:tcPr>
          <w:p w14:paraId="14BDB41B" w14:textId="77777777" w:rsidR="00C1022E" w:rsidRPr="0070242E" w:rsidRDefault="00C1022E" w:rsidP="00CD037E">
            <w:pPr>
              <w:spacing w:before="40" w:after="40"/>
              <w:jc w:val="center"/>
              <w:rPr>
                <w:rFonts w:eastAsia="Calibri" w:cs="Iskoola Pota"/>
                <w:b/>
                <w:sz w:val="20"/>
                <w:szCs w:val="20"/>
              </w:rPr>
            </w:pPr>
            <w:r w:rsidRPr="0070242E">
              <w:rPr>
                <w:b/>
                <w:sz w:val="20"/>
                <w:szCs w:val="20"/>
              </w:rPr>
              <w:t>Nyilvántartott adatok</w:t>
            </w:r>
          </w:p>
        </w:tc>
        <w:tc>
          <w:tcPr>
            <w:tcW w:w="700" w:type="pct"/>
            <w:tcBorders>
              <w:top w:val="single" w:sz="4" w:space="0" w:color="auto"/>
              <w:left w:val="single" w:sz="4" w:space="0" w:color="auto"/>
              <w:bottom w:val="single" w:sz="4" w:space="0" w:color="auto"/>
              <w:right w:val="single" w:sz="4" w:space="0" w:color="auto"/>
            </w:tcBorders>
            <w:hideMark/>
          </w:tcPr>
          <w:p w14:paraId="4CB3375D" w14:textId="77777777" w:rsidR="00C1022E" w:rsidRPr="0070242E" w:rsidRDefault="00C1022E" w:rsidP="00CD037E">
            <w:pPr>
              <w:spacing w:before="40" w:after="40"/>
              <w:jc w:val="center"/>
              <w:rPr>
                <w:rFonts w:eastAsia="Calibri" w:cs="Iskoola Pota"/>
                <w:b/>
                <w:sz w:val="20"/>
                <w:szCs w:val="20"/>
              </w:rPr>
            </w:pPr>
            <w:r w:rsidRPr="0070242E">
              <w:rPr>
                <w:b/>
                <w:sz w:val="20"/>
                <w:szCs w:val="20"/>
              </w:rPr>
              <w:t>SOP-kód</w:t>
            </w:r>
            <w:r w:rsidRPr="0070242E">
              <w:t xml:space="preserve"> </w:t>
            </w:r>
            <w:r w:rsidRPr="0070242E">
              <w:br/>
            </w:r>
            <w:r w:rsidRPr="0070242E">
              <w:rPr>
                <w:b/>
                <w:sz w:val="20"/>
              </w:rPr>
              <w:t>(SOPNr – DocNr)</w:t>
            </w:r>
          </w:p>
        </w:tc>
      </w:tr>
      <w:tr w:rsidR="00C1022E" w:rsidRPr="0070242E" w14:paraId="619F4D66" w14:textId="77777777" w:rsidTr="00CD037E">
        <w:tc>
          <w:tcPr>
            <w:tcW w:w="493" w:type="pct"/>
            <w:tcBorders>
              <w:top w:val="single" w:sz="4" w:space="0" w:color="auto"/>
              <w:left w:val="single" w:sz="4" w:space="0" w:color="auto"/>
              <w:bottom w:val="single" w:sz="4" w:space="0" w:color="auto"/>
              <w:right w:val="single" w:sz="4" w:space="0" w:color="auto"/>
            </w:tcBorders>
          </w:tcPr>
          <w:p w14:paraId="01B600E4" w14:textId="77777777" w:rsidR="00C1022E" w:rsidRPr="0070242E" w:rsidRDefault="00C1022E" w:rsidP="00CD037E">
            <w:pPr>
              <w:spacing w:before="40" w:after="40"/>
              <w:rPr>
                <w:rFonts w:eastAsia="Calibri" w:cs="Iskoola Pota"/>
                <w:sz w:val="20"/>
                <w:szCs w:val="20"/>
              </w:rPr>
            </w:pPr>
          </w:p>
        </w:tc>
        <w:tc>
          <w:tcPr>
            <w:tcW w:w="659" w:type="pct"/>
            <w:tcBorders>
              <w:top w:val="single" w:sz="4" w:space="0" w:color="auto"/>
              <w:left w:val="single" w:sz="4" w:space="0" w:color="auto"/>
              <w:bottom w:val="single" w:sz="4" w:space="0" w:color="auto"/>
              <w:right w:val="single" w:sz="4" w:space="0" w:color="auto"/>
            </w:tcBorders>
          </w:tcPr>
          <w:p w14:paraId="3E4CEA5E" w14:textId="77777777" w:rsidR="00C1022E" w:rsidRPr="0070242E" w:rsidRDefault="00C1022E" w:rsidP="00CD037E">
            <w:pPr>
              <w:spacing w:before="40" w:after="40"/>
              <w:rPr>
                <w:rFonts w:eastAsia="Calibri" w:cs="Iskoola Pota"/>
                <w:sz w:val="20"/>
                <w:szCs w:val="20"/>
              </w:rPr>
            </w:pPr>
          </w:p>
        </w:tc>
        <w:tc>
          <w:tcPr>
            <w:tcW w:w="1626" w:type="pct"/>
            <w:tcBorders>
              <w:top w:val="single" w:sz="4" w:space="0" w:color="auto"/>
              <w:left w:val="single" w:sz="4" w:space="0" w:color="auto"/>
              <w:bottom w:val="single" w:sz="4" w:space="0" w:color="auto"/>
              <w:right w:val="single" w:sz="4" w:space="0" w:color="auto"/>
            </w:tcBorders>
          </w:tcPr>
          <w:p w14:paraId="27C7F331" w14:textId="77777777" w:rsidR="00C1022E" w:rsidRPr="0070242E" w:rsidRDefault="00C1022E" w:rsidP="00CD037E">
            <w:pPr>
              <w:spacing w:before="40" w:after="40"/>
              <w:rPr>
                <w:rFonts w:eastAsia="Calibri" w:cs="Iskoola Pota"/>
                <w:sz w:val="20"/>
                <w:szCs w:val="20"/>
              </w:rPr>
            </w:pPr>
          </w:p>
        </w:tc>
        <w:tc>
          <w:tcPr>
            <w:tcW w:w="580" w:type="pct"/>
            <w:tcBorders>
              <w:top w:val="single" w:sz="4" w:space="0" w:color="auto"/>
              <w:left w:val="single" w:sz="4" w:space="0" w:color="auto"/>
              <w:bottom w:val="single" w:sz="4" w:space="0" w:color="auto"/>
              <w:right w:val="single" w:sz="4" w:space="0" w:color="auto"/>
            </w:tcBorders>
          </w:tcPr>
          <w:p w14:paraId="3CC95D84" w14:textId="77777777" w:rsidR="00C1022E" w:rsidRPr="0070242E" w:rsidRDefault="00C1022E" w:rsidP="00CD037E">
            <w:pPr>
              <w:spacing w:before="40" w:after="40"/>
              <w:rPr>
                <w:rFonts w:eastAsia="Calibri" w:cs="Iskoola Pota"/>
                <w:sz w:val="20"/>
                <w:szCs w:val="20"/>
              </w:rPr>
            </w:pPr>
          </w:p>
        </w:tc>
        <w:tc>
          <w:tcPr>
            <w:tcW w:w="942" w:type="pct"/>
            <w:tcBorders>
              <w:top w:val="single" w:sz="4" w:space="0" w:color="auto"/>
              <w:left w:val="single" w:sz="4" w:space="0" w:color="auto"/>
              <w:bottom w:val="single" w:sz="4" w:space="0" w:color="auto"/>
              <w:right w:val="single" w:sz="4" w:space="0" w:color="auto"/>
            </w:tcBorders>
          </w:tcPr>
          <w:p w14:paraId="14156C12" w14:textId="77777777" w:rsidR="00C1022E" w:rsidRPr="0070242E" w:rsidRDefault="00C1022E" w:rsidP="00CD037E">
            <w:pPr>
              <w:spacing w:before="40" w:after="40"/>
              <w:rPr>
                <w:rFonts w:eastAsia="Calibri" w:cs="Iskoola Pota"/>
                <w:sz w:val="20"/>
                <w:szCs w:val="20"/>
              </w:rPr>
            </w:pPr>
          </w:p>
        </w:tc>
        <w:tc>
          <w:tcPr>
            <w:tcW w:w="700" w:type="pct"/>
            <w:tcBorders>
              <w:top w:val="single" w:sz="4" w:space="0" w:color="auto"/>
              <w:left w:val="single" w:sz="4" w:space="0" w:color="auto"/>
              <w:bottom w:val="single" w:sz="4" w:space="0" w:color="auto"/>
              <w:right w:val="single" w:sz="4" w:space="0" w:color="auto"/>
            </w:tcBorders>
          </w:tcPr>
          <w:p w14:paraId="14DF9D39" w14:textId="77777777" w:rsidR="00C1022E" w:rsidRPr="0070242E" w:rsidRDefault="00C1022E" w:rsidP="00CD037E">
            <w:pPr>
              <w:spacing w:before="40" w:after="40"/>
              <w:rPr>
                <w:rFonts w:eastAsia="Calibri" w:cs="Iskoola Pota"/>
                <w:sz w:val="20"/>
                <w:szCs w:val="20"/>
              </w:rPr>
            </w:pPr>
          </w:p>
        </w:tc>
      </w:tr>
    </w:tbl>
    <w:p w14:paraId="37693D03" w14:textId="77777777" w:rsidR="00C1022E" w:rsidRPr="0070242E" w:rsidRDefault="00C1022E" w:rsidP="00C1022E">
      <w:pPr>
        <w:rPr>
          <w:rFonts w:eastAsia="Calibri"/>
        </w:rPr>
      </w:pPr>
    </w:p>
    <w:p w14:paraId="5B5678B3" w14:textId="77777777" w:rsidR="00C1022E" w:rsidRPr="0070242E" w:rsidRDefault="00C1022E" w:rsidP="00C1022E">
      <w:pPr>
        <w:pStyle w:val="Text1"/>
        <w:rPr>
          <w:rFonts w:eastAsia="Calibri"/>
        </w:rPr>
      </w:pPr>
      <w:r w:rsidRPr="0070242E">
        <w:t>Legalább négy szakasznak kell lennie (kivéve, ha nincs különbség a bemeneti tétel és az alapanyag, illetve a kimenet és a kilépő tétel között – lásd a 2.4. szakaszt):</w:t>
      </w:r>
    </w:p>
    <w:p w14:paraId="1F61585A" w14:textId="77777777" w:rsidR="00C1022E" w:rsidRPr="0070242E" w:rsidRDefault="00C1022E" w:rsidP="00C1022E">
      <w:pPr>
        <w:pStyle w:val="Tiret1"/>
      </w:pPr>
      <w:r w:rsidRPr="0070242E">
        <w:t>bemeneti szakasz (az első minőségértékelési szakasz, amikor az anyag bekerül az üzembe),</w:t>
      </w:r>
    </w:p>
    <w:p w14:paraId="748728B1" w14:textId="77777777" w:rsidR="00C1022E" w:rsidRPr="0070242E" w:rsidRDefault="00C1022E" w:rsidP="00C1022E">
      <w:pPr>
        <w:pStyle w:val="Tiret1"/>
        <w:rPr>
          <w:rFonts w:eastAsia="Calibri"/>
        </w:rPr>
      </w:pPr>
      <w:r w:rsidRPr="0070242E">
        <w:t xml:space="preserve">alapanyagszakasz (amikor a műanyag bekerül a szennyeződésmentesítési eljárásba), </w:t>
      </w:r>
    </w:p>
    <w:p w14:paraId="003110C1" w14:textId="77777777" w:rsidR="00C1022E" w:rsidRPr="0070242E" w:rsidRDefault="00C1022E" w:rsidP="00C1022E">
      <w:pPr>
        <w:pStyle w:val="Tiret1"/>
        <w:rPr>
          <w:rFonts w:eastAsia="Calibri"/>
        </w:rPr>
      </w:pPr>
      <w:r w:rsidRPr="0070242E">
        <w:t>kimeneti szakasz (amikor az anyag elhagyja a szennyeződésmentesítési eljárást),</w:t>
      </w:r>
    </w:p>
    <w:p w14:paraId="755C78BA" w14:textId="77777777" w:rsidR="00C1022E" w:rsidRPr="0070242E" w:rsidRDefault="00C1022E" w:rsidP="00C1022E">
      <w:pPr>
        <w:pStyle w:val="Tiret1"/>
        <w:rPr>
          <w:rFonts w:eastAsia="Calibri"/>
        </w:rPr>
      </w:pPr>
      <w:r w:rsidRPr="0070242E">
        <w:t>kilépési szakasz (amikor az újrafeldolgozott műanyag vagy az újrafeldolgozott műanyagok és műanyag tárgyak elhagyják az üzemet).</w:t>
      </w:r>
    </w:p>
    <w:p w14:paraId="779075BF" w14:textId="77777777" w:rsidR="00C1022E" w:rsidRPr="0070242E" w:rsidRDefault="00C1022E" w:rsidP="00C1022E">
      <w:pPr>
        <w:pStyle w:val="Text1"/>
        <w:rPr>
          <w:rFonts w:eastAsia="Calibri"/>
        </w:rPr>
      </w:pPr>
      <w:r w:rsidRPr="0070242E">
        <w:lastRenderedPageBreak/>
        <w:t xml:space="preserve">További közbenső szakaszokat kell hozzáadni, amennyiben azok más szakaszokban az anyag minősége szempontjából relevánsak. Ezeknek a közbenső szakaszoknak érdemi nevet kell adni. </w:t>
      </w:r>
    </w:p>
    <w:p w14:paraId="7C022A7A" w14:textId="77777777" w:rsidR="00C1022E" w:rsidRPr="0070242E" w:rsidRDefault="00C1022E" w:rsidP="00C1022E">
      <w:pPr>
        <w:rPr>
          <w:rFonts w:eastAsia="Calibri"/>
        </w:rPr>
      </w:pPr>
    </w:p>
    <w:p w14:paraId="7A248187" w14:textId="77777777" w:rsidR="00C1022E" w:rsidRPr="0070242E" w:rsidRDefault="00C1022E" w:rsidP="00C1022E">
      <w:pPr>
        <w:pStyle w:val="ManualHeading2"/>
        <w:rPr>
          <w:rFonts w:eastAsia="Times New Roman"/>
          <w:bCs/>
          <w:szCs w:val="26"/>
        </w:rPr>
      </w:pPr>
      <w:r w:rsidRPr="0070242E">
        <w:t>3.2.</w:t>
      </w:r>
      <w:r w:rsidRPr="0070242E">
        <w:tab/>
        <w:t>A minőségértékelési szakaszokban alkalmazott vonatkozó hatályos műveleti utasítások</w:t>
      </w:r>
    </w:p>
    <w:p w14:paraId="658A17F2" w14:textId="77777777" w:rsidR="00C1022E" w:rsidRPr="0070242E" w:rsidRDefault="00C1022E" w:rsidP="00C1022E">
      <w:pPr>
        <w:ind w:left="850"/>
        <w:rPr>
          <w:rFonts w:eastAsia="Calibri"/>
        </w:rPr>
      </w:pPr>
      <w:r w:rsidRPr="0070242E">
        <w:t>Az alábbi táblázatban hivatkozni kell a minőségértékelési szakaszok során alkalmazott minden egyes hatályos műveleti utasításra, rövid leírást kell adni azokról, és meg kell jelölni azt a helyet, ahol azokat végzik.</w:t>
      </w:r>
    </w:p>
    <w:tbl>
      <w:tblPr>
        <w:tblW w:w="93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339"/>
        <w:gridCol w:w="4736"/>
        <w:gridCol w:w="1554"/>
      </w:tblGrid>
      <w:tr w:rsidR="00C1022E" w:rsidRPr="0070242E" w14:paraId="03694ADC" w14:textId="77777777" w:rsidTr="00CD037E">
        <w:tc>
          <w:tcPr>
            <w:tcW w:w="1301" w:type="dxa"/>
            <w:tcBorders>
              <w:top w:val="single" w:sz="4" w:space="0" w:color="auto"/>
              <w:left w:val="single" w:sz="4" w:space="0" w:color="auto"/>
              <w:bottom w:val="single" w:sz="4" w:space="0" w:color="auto"/>
              <w:right w:val="single" w:sz="4" w:space="0" w:color="auto"/>
            </w:tcBorders>
            <w:vAlign w:val="center"/>
            <w:hideMark/>
          </w:tcPr>
          <w:p w14:paraId="7DC57B26" w14:textId="77777777" w:rsidR="00C1022E" w:rsidRPr="0070242E" w:rsidRDefault="00C1022E" w:rsidP="00CD037E">
            <w:pPr>
              <w:spacing w:before="40" w:after="40"/>
              <w:jc w:val="center"/>
              <w:rPr>
                <w:rFonts w:eastAsia="Calibri" w:cs="Iskoola Pota"/>
                <w:sz w:val="20"/>
                <w:szCs w:val="20"/>
              </w:rPr>
            </w:pPr>
            <w:r w:rsidRPr="0070242E">
              <w:rPr>
                <w:b/>
                <w:sz w:val="20"/>
                <w:szCs w:val="20"/>
              </w:rPr>
              <w:t>Minőségértékelés (QA) száma (hivatkozási szám: 3.1.)</w:t>
            </w:r>
          </w:p>
        </w:tc>
        <w:tc>
          <w:tcPr>
            <w:tcW w:w="1371" w:type="dxa"/>
            <w:tcBorders>
              <w:top w:val="single" w:sz="4" w:space="0" w:color="auto"/>
              <w:left w:val="single" w:sz="4" w:space="0" w:color="auto"/>
              <w:bottom w:val="single" w:sz="4" w:space="0" w:color="auto"/>
              <w:right w:val="single" w:sz="4" w:space="0" w:color="auto"/>
            </w:tcBorders>
            <w:vAlign w:val="center"/>
            <w:hideMark/>
          </w:tcPr>
          <w:p w14:paraId="1C1251A6" w14:textId="77777777" w:rsidR="00C1022E" w:rsidRPr="0070242E" w:rsidRDefault="00C1022E" w:rsidP="00CD037E">
            <w:pPr>
              <w:spacing w:before="40" w:after="40"/>
              <w:jc w:val="center"/>
              <w:rPr>
                <w:rFonts w:eastAsia="Calibri" w:cs="Iskoola Pota"/>
                <w:b/>
                <w:sz w:val="22"/>
              </w:rPr>
            </w:pPr>
            <w:r w:rsidRPr="0070242E">
              <w:rPr>
                <w:sz w:val="20"/>
                <w:szCs w:val="20"/>
              </w:rPr>
              <w:t>SOP-kód</w:t>
            </w:r>
            <w:r w:rsidRPr="0070242E">
              <w:t xml:space="preserve"> </w:t>
            </w:r>
            <w:r w:rsidRPr="0070242E">
              <w:br/>
            </w:r>
            <w:r w:rsidRPr="0070242E">
              <w:rPr>
                <w:b/>
                <w:sz w:val="20"/>
              </w:rPr>
              <w:t>(SOPNr – DocNr)</w:t>
            </w:r>
          </w:p>
        </w:tc>
        <w:tc>
          <w:tcPr>
            <w:tcW w:w="5030" w:type="dxa"/>
            <w:tcBorders>
              <w:top w:val="single" w:sz="4" w:space="0" w:color="auto"/>
              <w:left w:val="single" w:sz="4" w:space="0" w:color="auto"/>
              <w:bottom w:val="single" w:sz="4" w:space="0" w:color="auto"/>
              <w:right w:val="single" w:sz="4" w:space="0" w:color="auto"/>
            </w:tcBorders>
            <w:vAlign w:val="center"/>
            <w:hideMark/>
          </w:tcPr>
          <w:p w14:paraId="05D31610" w14:textId="77777777" w:rsidR="00C1022E" w:rsidRPr="0070242E" w:rsidRDefault="00C1022E" w:rsidP="00CD037E">
            <w:pPr>
              <w:spacing w:before="40" w:after="40"/>
              <w:jc w:val="center"/>
              <w:rPr>
                <w:rFonts w:eastAsia="Calibri" w:cs="Iskoola Pota"/>
                <w:sz w:val="20"/>
                <w:szCs w:val="20"/>
              </w:rPr>
            </w:pPr>
            <w:r w:rsidRPr="0070242E">
              <w:rPr>
                <w:sz w:val="20"/>
                <w:szCs w:val="20"/>
              </w:rPr>
              <w:t>Rövid leírás</w:t>
            </w:r>
          </w:p>
        </w:tc>
        <w:tc>
          <w:tcPr>
            <w:tcW w:w="1621" w:type="dxa"/>
            <w:tcBorders>
              <w:top w:val="single" w:sz="4" w:space="0" w:color="auto"/>
              <w:left w:val="single" w:sz="4" w:space="0" w:color="auto"/>
              <w:bottom w:val="single" w:sz="4" w:space="0" w:color="auto"/>
              <w:right w:val="single" w:sz="4" w:space="0" w:color="auto"/>
            </w:tcBorders>
            <w:hideMark/>
          </w:tcPr>
          <w:p w14:paraId="0E02259A" w14:textId="77777777" w:rsidR="00C1022E" w:rsidRPr="0070242E" w:rsidRDefault="00C1022E" w:rsidP="00CD037E">
            <w:pPr>
              <w:spacing w:before="40" w:after="40"/>
              <w:jc w:val="center"/>
              <w:rPr>
                <w:rFonts w:eastAsia="Calibri" w:cs="Iskoola Pota"/>
                <w:sz w:val="20"/>
                <w:szCs w:val="20"/>
              </w:rPr>
            </w:pPr>
            <w:r w:rsidRPr="0070242E">
              <w:rPr>
                <w:sz w:val="20"/>
                <w:szCs w:val="20"/>
              </w:rPr>
              <w:t>Hely (QA)</w:t>
            </w:r>
          </w:p>
        </w:tc>
      </w:tr>
      <w:tr w:rsidR="00C1022E" w:rsidRPr="0070242E" w14:paraId="112735DE" w14:textId="77777777" w:rsidTr="00CD037E">
        <w:trPr>
          <w:trHeight w:val="528"/>
        </w:trPr>
        <w:tc>
          <w:tcPr>
            <w:tcW w:w="1301" w:type="dxa"/>
            <w:tcBorders>
              <w:top w:val="single" w:sz="4" w:space="0" w:color="auto"/>
              <w:left w:val="single" w:sz="4" w:space="0" w:color="auto"/>
              <w:bottom w:val="single" w:sz="4" w:space="0" w:color="auto"/>
              <w:right w:val="single" w:sz="4" w:space="0" w:color="auto"/>
            </w:tcBorders>
          </w:tcPr>
          <w:p w14:paraId="79697917"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1371" w:type="dxa"/>
            <w:tcBorders>
              <w:top w:val="single" w:sz="4" w:space="0" w:color="auto"/>
              <w:left w:val="single" w:sz="4" w:space="0" w:color="auto"/>
              <w:bottom w:val="single" w:sz="4" w:space="0" w:color="auto"/>
              <w:right w:val="single" w:sz="4" w:space="0" w:color="auto"/>
            </w:tcBorders>
          </w:tcPr>
          <w:p w14:paraId="5E5756C6"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5030" w:type="dxa"/>
            <w:tcBorders>
              <w:top w:val="single" w:sz="4" w:space="0" w:color="auto"/>
              <w:left w:val="single" w:sz="4" w:space="0" w:color="auto"/>
              <w:bottom w:val="single" w:sz="4" w:space="0" w:color="auto"/>
              <w:right w:val="single" w:sz="4" w:space="0" w:color="auto"/>
            </w:tcBorders>
          </w:tcPr>
          <w:p w14:paraId="57A8C7AA"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1621" w:type="dxa"/>
            <w:tcBorders>
              <w:top w:val="single" w:sz="4" w:space="0" w:color="auto"/>
              <w:left w:val="single" w:sz="4" w:space="0" w:color="auto"/>
              <w:bottom w:val="single" w:sz="4" w:space="0" w:color="auto"/>
              <w:right w:val="single" w:sz="4" w:space="0" w:color="auto"/>
            </w:tcBorders>
          </w:tcPr>
          <w:p w14:paraId="0100A784"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r w:rsidR="00C1022E" w:rsidRPr="0070242E" w14:paraId="0821CEC3" w14:textId="77777777" w:rsidTr="00CD037E">
        <w:trPr>
          <w:trHeight w:val="528"/>
        </w:trPr>
        <w:tc>
          <w:tcPr>
            <w:tcW w:w="1301" w:type="dxa"/>
            <w:tcBorders>
              <w:top w:val="single" w:sz="4" w:space="0" w:color="auto"/>
              <w:left w:val="single" w:sz="4" w:space="0" w:color="auto"/>
              <w:bottom w:val="single" w:sz="4" w:space="0" w:color="auto"/>
              <w:right w:val="single" w:sz="4" w:space="0" w:color="auto"/>
            </w:tcBorders>
          </w:tcPr>
          <w:p w14:paraId="284A40FF"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371" w:type="dxa"/>
            <w:tcBorders>
              <w:top w:val="single" w:sz="4" w:space="0" w:color="auto"/>
              <w:left w:val="single" w:sz="4" w:space="0" w:color="auto"/>
              <w:bottom w:val="single" w:sz="4" w:space="0" w:color="auto"/>
              <w:right w:val="single" w:sz="4" w:space="0" w:color="auto"/>
            </w:tcBorders>
          </w:tcPr>
          <w:p w14:paraId="43AC3038"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5030" w:type="dxa"/>
            <w:tcBorders>
              <w:top w:val="single" w:sz="4" w:space="0" w:color="auto"/>
              <w:left w:val="single" w:sz="4" w:space="0" w:color="auto"/>
              <w:bottom w:val="single" w:sz="4" w:space="0" w:color="auto"/>
              <w:right w:val="single" w:sz="4" w:space="0" w:color="auto"/>
            </w:tcBorders>
          </w:tcPr>
          <w:p w14:paraId="3FC2B1AB"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621" w:type="dxa"/>
            <w:tcBorders>
              <w:top w:val="single" w:sz="4" w:space="0" w:color="auto"/>
              <w:left w:val="single" w:sz="4" w:space="0" w:color="auto"/>
              <w:bottom w:val="single" w:sz="4" w:space="0" w:color="auto"/>
              <w:right w:val="single" w:sz="4" w:space="0" w:color="auto"/>
            </w:tcBorders>
          </w:tcPr>
          <w:p w14:paraId="2B26BCB2"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bl>
    <w:p w14:paraId="1405B701" w14:textId="77777777" w:rsidR="00C1022E" w:rsidRPr="0070242E" w:rsidRDefault="00C1022E" w:rsidP="00C1022E">
      <w:pPr>
        <w:pStyle w:val="ManualHeading1"/>
        <w:rPr>
          <w:rFonts w:eastAsia="Times New Roman"/>
          <w:bCs/>
          <w:smallCaps w:val="0"/>
          <w:szCs w:val="24"/>
        </w:rPr>
      </w:pPr>
      <w:r w:rsidRPr="0070242E">
        <w:rPr>
          <w:bCs/>
          <w:smallCaps w:val="0"/>
          <w:szCs w:val="28"/>
        </w:rPr>
        <w:t>4.</w:t>
      </w:r>
      <w:r w:rsidRPr="0070242E">
        <w:tab/>
      </w:r>
      <w:r w:rsidRPr="0070242E">
        <w:rPr>
          <w:bCs/>
          <w:smallCaps w:val="0"/>
          <w:szCs w:val="28"/>
        </w:rPr>
        <w:t>4. szakasz: Nyilvántartási adattár</w:t>
      </w:r>
    </w:p>
    <w:p w14:paraId="3A4A62A0" w14:textId="77777777" w:rsidR="00C1022E" w:rsidRPr="0070242E" w:rsidRDefault="00C1022E" w:rsidP="00C1022E">
      <w:pPr>
        <w:pStyle w:val="ManualHeading2"/>
      </w:pPr>
      <w:r w:rsidRPr="0070242E">
        <w:t>4.1.</w:t>
      </w:r>
      <w:r w:rsidRPr="0070242E">
        <w:tab/>
        <w:t>Minőségértékelési nyilvántartási rendszerek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572"/>
        <w:gridCol w:w="2027"/>
        <w:gridCol w:w="771"/>
        <w:gridCol w:w="1105"/>
        <w:gridCol w:w="905"/>
        <w:gridCol w:w="1168"/>
      </w:tblGrid>
      <w:tr w:rsidR="00C1022E" w:rsidRPr="0070242E" w14:paraId="5C3002A4" w14:textId="77777777" w:rsidTr="00CD037E">
        <w:tc>
          <w:tcPr>
            <w:tcW w:w="659" w:type="pct"/>
            <w:tcBorders>
              <w:top w:val="single" w:sz="4" w:space="0" w:color="auto"/>
              <w:left w:val="single" w:sz="4" w:space="0" w:color="auto"/>
              <w:bottom w:val="single" w:sz="4" w:space="0" w:color="auto"/>
              <w:right w:val="single" w:sz="4" w:space="0" w:color="auto"/>
            </w:tcBorders>
            <w:hideMark/>
          </w:tcPr>
          <w:p w14:paraId="52B675FB" w14:textId="77777777" w:rsidR="00C1022E" w:rsidRPr="0070242E" w:rsidRDefault="00C1022E" w:rsidP="00CD037E">
            <w:pPr>
              <w:spacing w:before="40" w:after="40"/>
              <w:jc w:val="center"/>
              <w:rPr>
                <w:rFonts w:eastAsia="Calibri" w:cs="Iskoola Pota"/>
                <w:b/>
                <w:sz w:val="20"/>
                <w:szCs w:val="20"/>
              </w:rPr>
            </w:pPr>
            <w:r w:rsidRPr="0070242E">
              <w:rPr>
                <w:b/>
                <w:sz w:val="20"/>
                <w:szCs w:val="20"/>
              </w:rPr>
              <w:t>Minőségértékelés száma (hivatkozási szám: 3.1.)</w:t>
            </w:r>
          </w:p>
        </w:tc>
        <w:tc>
          <w:tcPr>
            <w:tcW w:w="945" w:type="pct"/>
            <w:tcBorders>
              <w:top w:val="single" w:sz="4" w:space="0" w:color="auto"/>
              <w:left w:val="single" w:sz="4" w:space="0" w:color="auto"/>
              <w:bottom w:val="single" w:sz="4" w:space="0" w:color="auto"/>
              <w:right w:val="single" w:sz="4" w:space="0" w:color="auto"/>
            </w:tcBorders>
            <w:hideMark/>
          </w:tcPr>
          <w:p w14:paraId="3CD90091" w14:textId="77777777" w:rsidR="00C1022E" w:rsidRPr="0070242E" w:rsidRDefault="00C1022E" w:rsidP="00CD037E">
            <w:pPr>
              <w:spacing w:before="40" w:after="40"/>
              <w:jc w:val="center"/>
              <w:rPr>
                <w:rFonts w:eastAsia="Calibri" w:cs="Iskoola Pota"/>
                <w:b/>
                <w:sz w:val="20"/>
                <w:szCs w:val="20"/>
              </w:rPr>
            </w:pPr>
            <w:r w:rsidRPr="0070242E">
              <w:rPr>
                <w:b/>
                <w:sz w:val="20"/>
                <w:szCs w:val="20"/>
              </w:rPr>
              <w:t>Név</w:t>
            </w:r>
          </w:p>
        </w:tc>
        <w:tc>
          <w:tcPr>
            <w:tcW w:w="1167" w:type="pct"/>
            <w:tcBorders>
              <w:top w:val="single" w:sz="4" w:space="0" w:color="auto"/>
              <w:left w:val="single" w:sz="4" w:space="0" w:color="auto"/>
              <w:bottom w:val="single" w:sz="4" w:space="0" w:color="auto"/>
              <w:right w:val="single" w:sz="4" w:space="0" w:color="auto"/>
            </w:tcBorders>
            <w:hideMark/>
          </w:tcPr>
          <w:p w14:paraId="6BF7811B" w14:textId="77777777" w:rsidR="00C1022E" w:rsidRPr="0070242E" w:rsidRDefault="00C1022E" w:rsidP="00CD037E">
            <w:pPr>
              <w:spacing w:before="40" w:after="40"/>
              <w:jc w:val="center"/>
              <w:rPr>
                <w:rFonts w:eastAsia="Calibri" w:cs="Iskoola Pota"/>
                <w:b/>
                <w:sz w:val="20"/>
                <w:szCs w:val="20"/>
              </w:rPr>
            </w:pPr>
            <w:r w:rsidRPr="0070242E">
              <w:rPr>
                <w:b/>
                <w:sz w:val="20"/>
                <w:szCs w:val="20"/>
              </w:rPr>
              <w:t>Meghatározás/Leírás</w:t>
            </w:r>
          </w:p>
        </w:tc>
        <w:tc>
          <w:tcPr>
            <w:tcW w:w="536" w:type="pct"/>
            <w:tcBorders>
              <w:top w:val="single" w:sz="4" w:space="0" w:color="auto"/>
              <w:left w:val="single" w:sz="4" w:space="0" w:color="auto"/>
              <w:bottom w:val="single" w:sz="4" w:space="0" w:color="auto"/>
              <w:right w:val="single" w:sz="4" w:space="0" w:color="auto"/>
            </w:tcBorders>
            <w:hideMark/>
          </w:tcPr>
          <w:p w14:paraId="1120DF20" w14:textId="77777777" w:rsidR="00C1022E" w:rsidRPr="0070242E" w:rsidRDefault="00C1022E" w:rsidP="00CD037E">
            <w:pPr>
              <w:spacing w:before="40" w:after="40"/>
              <w:jc w:val="center"/>
              <w:rPr>
                <w:rFonts w:eastAsia="Calibri" w:cs="Iskoola Pota"/>
                <w:b/>
                <w:sz w:val="20"/>
                <w:szCs w:val="20"/>
              </w:rPr>
            </w:pPr>
            <w:r w:rsidRPr="0070242E">
              <w:rPr>
                <w:b/>
                <w:sz w:val="20"/>
                <w:szCs w:val="20"/>
              </w:rPr>
              <w:t>Hely</w:t>
            </w:r>
          </w:p>
        </w:tc>
        <w:tc>
          <w:tcPr>
            <w:tcW w:w="485" w:type="pct"/>
            <w:tcBorders>
              <w:top w:val="single" w:sz="4" w:space="0" w:color="auto"/>
              <w:left w:val="single" w:sz="4" w:space="0" w:color="auto"/>
              <w:bottom w:val="single" w:sz="4" w:space="0" w:color="auto"/>
              <w:right w:val="single" w:sz="4" w:space="0" w:color="auto"/>
            </w:tcBorders>
            <w:hideMark/>
          </w:tcPr>
          <w:p w14:paraId="351C7AE9" w14:textId="77777777" w:rsidR="00C1022E" w:rsidRPr="0070242E" w:rsidRDefault="00C1022E" w:rsidP="00CD037E">
            <w:pPr>
              <w:spacing w:before="40" w:after="40"/>
              <w:jc w:val="center"/>
              <w:rPr>
                <w:rFonts w:eastAsia="Calibri" w:cs="Iskoola Pota"/>
                <w:b/>
                <w:sz w:val="20"/>
                <w:szCs w:val="20"/>
              </w:rPr>
            </w:pPr>
            <w:r w:rsidRPr="0070242E">
              <w:rPr>
                <w:b/>
                <w:sz w:val="20"/>
                <w:szCs w:val="20"/>
              </w:rPr>
              <w:t>Biztonsági mentés</w:t>
            </w:r>
          </w:p>
        </w:tc>
        <w:tc>
          <w:tcPr>
            <w:tcW w:w="482" w:type="pct"/>
            <w:tcBorders>
              <w:top w:val="single" w:sz="4" w:space="0" w:color="auto"/>
              <w:left w:val="single" w:sz="4" w:space="0" w:color="auto"/>
              <w:bottom w:val="single" w:sz="4" w:space="0" w:color="auto"/>
              <w:right w:val="single" w:sz="4" w:space="0" w:color="auto"/>
            </w:tcBorders>
            <w:hideMark/>
          </w:tcPr>
          <w:p w14:paraId="20A3FD89" w14:textId="77777777" w:rsidR="00C1022E" w:rsidRPr="0070242E" w:rsidRDefault="00C1022E" w:rsidP="00CD037E">
            <w:pPr>
              <w:spacing w:before="40" w:after="40"/>
              <w:jc w:val="center"/>
              <w:rPr>
                <w:rFonts w:eastAsia="Calibri" w:cs="Iskoola Pota"/>
                <w:b/>
                <w:sz w:val="20"/>
                <w:szCs w:val="20"/>
              </w:rPr>
            </w:pPr>
            <w:r w:rsidRPr="0070242E">
              <w:rPr>
                <w:b/>
                <w:sz w:val="20"/>
                <w:szCs w:val="20"/>
              </w:rPr>
              <w:t>SOP-kód</w:t>
            </w:r>
            <w:r w:rsidRPr="0070242E">
              <w:t xml:space="preserve"> </w:t>
            </w:r>
            <w:r w:rsidRPr="0070242E">
              <w:br/>
            </w:r>
            <w:r w:rsidRPr="0070242E">
              <w:rPr>
                <w:b/>
                <w:sz w:val="20"/>
              </w:rPr>
              <w:t>(SOPNr – DocNr)</w:t>
            </w:r>
          </w:p>
        </w:tc>
        <w:tc>
          <w:tcPr>
            <w:tcW w:w="726" w:type="pct"/>
            <w:tcBorders>
              <w:top w:val="single" w:sz="4" w:space="0" w:color="auto"/>
              <w:left w:val="single" w:sz="4" w:space="0" w:color="auto"/>
              <w:bottom w:val="single" w:sz="4" w:space="0" w:color="auto"/>
              <w:right w:val="single" w:sz="4" w:space="0" w:color="auto"/>
            </w:tcBorders>
            <w:hideMark/>
          </w:tcPr>
          <w:p w14:paraId="4E422FC9" w14:textId="77777777" w:rsidR="00C1022E" w:rsidRPr="0070242E" w:rsidRDefault="00C1022E" w:rsidP="00CD037E">
            <w:pPr>
              <w:spacing w:before="40" w:after="40"/>
              <w:jc w:val="center"/>
              <w:rPr>
                <w:rFonts w:eastAsia="Calibri" w:cs="Iskoola Pota"/>
                <w:b/>
                <w:sz w:val="20"/>
                <w:szCs w:val="20"/>
              </w:rPr>
            </w:pPr>
            <w:r w:rsidRPr="0070242E">
              <w:rPr>
                <w:b/>
                <w:sz w:val="20"/>
                <w:szCs w:val="20"/>
              </w:rPr>
              <w:t>Módosítás megelőzése</w:t>
            </w:r>
          </w:p>
        </w:tc>
      </w:tr>
      <w:tr w:rsidR="00C1022E" w:rsidRPr="0070242E" w14:paraId="011D70A8" w14:textId="77777777" w:rsidTr="00CD037E">
        <w:tc>
          <w:tcPr>
            <w:tcW w:w="659" w:type="pct"/>
            <w:tcBorders>
              <w:top w:val="single" w:sz="4" w:space="0" w:color="auto"/>
              <w:left w:val="single" w:sz="4" w:space="0" w:color="auto"/>
              <w:bottom w:val="single" w:sz="4" w:space="0" w:color="auto"/>
              <w:right w:val="single" w:sz="4" w:space="0" w:color="auto"/>
            </w:tcBorders>
          </w:tcPr>
          <w:p w14:paraId="38E23880" w14:textId="77777777" w:rsidR="00C1022E" w:rsidRPr="0070242E" w:rsidRDefault="00C1022E" w:rsidP="00CD037E">
            <w:pPr>
              <w:widowControl w:val="0"/>
              <w:spacing w:before="0" w:after="0"/>
              <w:jc w:val="left"/>
              <w:rPr>
                <w:rFonts w:ascii="Courier New" w:eastAsia="Calibri" w:hAnsi="Courier New"/>
                <w:sz w:val="22"/>
                <w:szCs w:val="24"/>
              </w:rPr>
            </w:pPr>
          </w:p>
        </w:tc>
        <w:tc>
          <w:tcPr>
            <w:tcW w:w="945" w:type="pct"/>
            <w:tcBorders>
              <w:top w:val="single" w:sz="4" w:space="0" w:color="auto"/>
              <w:left w:val="single" w:sz="4" w:space="0" w:color="auto"/>
              <w:bottom w:val="single" w:sz="4" w:space="0" w:color="auto"/>
              <w:right w:val="single" w:sz="4" w:space="0" w:color="auto"/>
            </w:tcBorders>
          </w:tcPr>
          <w:p w14:paraId="599E680E" w14:textId="77777777" w:rsidR="00C1022E" w:rsidRPr="0070242E" w:rsidRDefault="00C1022E" w:rsidP="00CD037E">
            <w:pPr>
              <w:widowControl w:val="0"/>
              <w:spacing w:before="0" w:after="0"/>
              <w:jc w:val="left"/>
              <w:rPr>
                <w:rFonts w:ascii="Courier New" w:eastAsia="Calibri" w:hAnsi="Courier New"/>
                <w:sz w:val="22"/>
                <w:szCs w:val="24"/>
              </w:rPr>
            </w:pPr>
          </w:p>
        </w:tc>
        <w:tc>
          <w:tcPr>
            <w:tcW w:w="1167" w:type="pct"/>
            <w:tcBorders>
              <w:top w:val="single" w:sz="4" w:space="0" w:color="auto"/>
              <w:left w:val="single" w:sz="4" w:space="0" w:color="auto"/>
              <w:bottom w:val="single" w:sz="4" w:space="0" w:color="auto"/>
              <w:right w:val="single" w:sz="4" w:space="0" w:color="auto"/>
            </w:tcBorders>
          </w:tcPr>
          <w:p w14:paraId="2D0ACDF5" w14:textId="77777777" w:rsidR="00C1022E" w:rsidRPr="0070242E" w:rsidRDefault="00C1022E" w:rsidP="00CD037E">
            <w:pPr>
              <w:widowControl w:val="0"/>
              <w:spacing w:before="0" w:after="0"/>
              <w:jc w:val="left"/>
              <w:rPr>
                <w:rFonts w:ascii="Courier New" w:eastAsia="Calibri" w:hAnsi="Courier New"/>
                <w:sz w:val="22"/>
                <w:szCs w:val="24"/>
              </w:rPr>
            </w:pPr>
          </w:p>
        </w:tc>
        <w:tc>
          <w:tcPr>
            <w:tcW w:w="536" w:type="pct"/>
            <w:tcBorders>
              <w:top w:val="single" w:sz="4" w:space="0" w:color="auto"/>
              <w:left w:val="single" w:sz="4" w:space="0" w:color="auto"/>
              <w:bottom w:val="single" w:sz="4" w:space="0" w:color="auto"/>
              <w:right w:val="single" w:sz="4" w:space="0" w:color="auto"/>
            </w:tcBorders>
          </w:tcPr>
          <w:p w14:paraId="128C06EC" w14:textId="77777777" w:rsidR="00C1022E" w:rsidRPr="0070242E" w:rsidRDefault="00C1022E" w:rsidP="00CD037E">
            <w:pPr>
              <w:widowControl w:val="0"/>
              <w:spacing w:before="0" w:after="0"/>
              <w:jc w:val="left"/>
              <w:rPr>
                <w:rFonts w:ascii="Courier New" w:eastAsia="Calibri" w:hAnsi="Courier New"/>
                <w:sz w:val="22"/>
                <w:szCs w:val="24"/>
              </w:rPr>
            </w:pPr>
          </w:p>
        </w:tc>
        <w:tc>
          <w:tcPr>
            <w:tcW w:w="485" w:type="pct"/>
            <w:tcBorders>
              <w:top w:val="single" w:sz="4" w:space="0" w:color="auto"/>
              <w:left w:val="single" w:sz="4" w:space="0" w:color="auto"/>
              <w:bottom w:val="single" w:sz="4" w:space="0" w:color="auto"/>
              <w:right w:val="single" w:sz="4" w:space="0" w:color="auto"/>
            </w:tcBorders>
          </w:tcPr>
          <w:p w14:paraId="20F25A30" w14:textId="77777777" w:rsidR="00C1022E" w:rsidRPr="0070242E" w:rsidRDefault="00C1022E" w:rsidP="00CD037E">
            <w:pPr>
              <w:widowControl w:val="0"/>
              <w:spacing w:before="0" w:after="0"/>
              <w:jc w:val="left"/>
              <w:rPr>
                <w:rFonts w:ascii="Courier New" w:eastAsia="Calibri" w:hAnsi="Courier New"/>
                <w:sz w:val="22"/>
                <w:szCs w:val="24"/>
              </w:rPr>
            </w:pPr>
          </w:p>
        </w:tc>
        <w:tc>
          <w:tcPr>
            <w:tcW w:w="482" w:type="pct"/>
            <w:tcBorders>
              <w:top w:val="single" w:sz="4" w:space="0" w:color="auto"/>
              <w:left w:val="single" w:sz="4" w:space="0" w:color="auto"/>
              <w:bottom w:val="single" w:sz="4" w:space="0" w:color="auto"/>
              <w:right w:val="single" w:sz="4" w:space="0" w:color="auto"/>
            </w:tcBorders>
          </w:tcPr>
          <w:p w14:paraId="0C7A9DBC" w14:textId="77777777" w:rsidR="00C1022E" w:rsidRPr="0070242E" w:rsidRDefault="00C1022E" w:rsidP="00CD037E">
            <w:pPr>
              <w:widowControl w:val="0"/>
              <w:spacing w:before="0" w:after="0"/>
              <w:jc w:val="left"/>
              <w:rPr>
                <w:rFonts w:ascii="Courier New" w:eastAsia="Calibri" w:hAnsi="Courier New"/>
                <w:sz w:val="22"/>
                <w:szCs w:val="24"/>
              </w:rPr>
            </w:pPr>
          </w:p>
        </w:tc>
        <w:tc>
          <w:tcPr>
            <w:tcW w:w="726" w:type="pct"/>
            <w:tcBorders>
              <w:top w:val="single" w:sz="4" w:space="0" w:color="auto"/>
              <w:left w:val="single" w:sz="4" w:space="0" w:color="auto"/>
              <w:bottom w:val="single" w:sz="4" w:space="0" w:color="auto"/>
              <w:right w:val="single" w:sz="4" w:space="0" w:color="auto"/>
            </w:tcBorders>
          </w:tcPr>
          <w:p w14:paraId="5701F4E9" w14:textId="77777777" w:rsidR="00C1022E" w:rsidRPr="0070242E" w:rsidRDefault="00C1022E" w:rsidP="00CD037E">
            <w:pPr>
              <w:widowControl w:val="0"/>
              <w:spacing w:before="0" w:after="0"/>
              <w:jc w:val="left"/>
              <w:rPr>
                <w:rFonts w:ascii="Courier New" w:eastAsia="Calibri" w:hAnsi="Courier New"/>
                <w:sz w:val="22"/>
                <w:szCs w:val="24"/>
              </w:rPr>
            </w:pPr>
          </w:p>
        </w:tc>
      </w:tr>
      <w:tr w:rsidR="00C1022E" w:rsidRPr="0070242E" w14:paraId="6D79EF0E" w14:textId="77777777" w:rsidTr="00CD037E">
        <w:tc>
          <w:tcPr>
            <w:tcW w:w="659" w:type="pct"/>
            <w:tcBorders>
              <w:top w:val="single" w:sz="4" w:space="0" w:color="auto"/>
              <w:left w:val="single" w:sz="4" w:space="0" w:color="auto"/>
              <w:bottom w:val="single" w:sz="4" w:space="0" w:color="auto"/>
              <w:right w:val="single" w:sz="4" w:space="0" w:color="auto"/>
            </w:tcBorders>
          </w:tcPr>
          <w:p w14:paraId="6177809F"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945" w:type="pct"/>
            <w:tcBorders>
              <w:top w:val="single" w:sz="4" w:space="0" w:color="auto"/>
              <w:left w:val="single" w:sz="4" w:space="0" w:color="auto"/>
              <w:bottom w:val="single" w:sz="4" w:space="0" w:color="auto"/>
              <w:right w:val="single" w:sz="4" w:space="0" w:color="auto"/>
            </w:tcBorders>
          </w:tcPr>
          <w:p w14:paraId="408E3851"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1167" w:type="pct"/>
            <w:tcBorders>
              <w:top w:val="single" w:sz="4" w:space="0" w:color="auto"/>
              <w:left w:val="single" w:sz="4" w:space="0" w:color="auto"/>
              <w:bottom w:val="single" w:sz="4" w:space="0" w:color="auto"/>
              <w:right w:val="single" w:sz="4" w:space="0" w:color="auto"/>
            </w:tcBorders>
          </w:tcPr>
          <w:p w14:paraId="2B135797"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536" w:type="pct"/>
            <w:tcBorders>
              <w:top w:val="single" w:sz="4" w:space="0" w:color="auto"/>
              <w:left w:val="single" w:sz="4" w:space="0" w:color="auto"/>
              <w:bottom w:val="single" w:sz="4" w:space="0" w:color="auto"/>
              <w:right w:val="single" w:sz="4" w:space="0" w:color="auto"/>
            </w:tcBorders>
          </w:tcPr>
          <w:p w14:paraId="2013FF5E"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485" w:type="pct"/>
            <w:tcBorders>
              <w:top w:val="single" w:sz="4" w:space="0" w:color="auto"/>
              <w:left w:val="single" w:sz="4" w:space="0" w:color="auto"/>
              <w:bottom w:val="single" w:sz="4" w:space="0" w:color="auto"/>
              <w:right w:val="single" w:sz="4" w:space="0" w:color="auto"/>
            </w:tcBorders>
          </w:tcPr>
          <w:p w14:paraId="3A3885E0"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482" w:type="pct"/>
            <w:tcBorders>
              <w:top w:val="single" w:sz="4" w:space="0" w:color="auto"/>
              <w:left w:val="single" w:sz="4" w:space="0" w:color="auto"/>
              <w:bottom w:val="single" w:sz="4" w:space="0" w:color="auto"/>
              <w:right w:val="single" w:sz="4" w:space="0" w:color="auto"/>
            </w:tcBorders>
          </w:tcPr>
          <w:p w14:paraId="2574BC37"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c>
          <w:tcPr>
            <w:tcW w:w="726" w:type="pct"/>
            <w:tcBorders>
              <w:top w:val="single" w:sz="4" w:space="0" w:color="auto"/>
              <w:left w:val="single" w:sz="4" w:space="0" w:color="auto"/>
              <w:bottom w:val="single" w:sz="4" w:space="0" w:color="auto"/>
              <w:right w:val="single" w:sz="4" w:space="0" w:color="auto"/>
            </w:tcBorders>
          </w:tcPr>
          <w:p w14:paraId="0A655BA8" w14:textId="77777777" w:rsidR="00C1022E" w:rsidRPr="0070242E" w:rsidRDefault="00C1022E" w:rsidP="00CD037E">
            <w:pPr>
              <w:widowControl w:val="0"/>
              <w:spacing w:before="0" w:after="0"/>
              <w:jc w:val="left"/>
              <w:rPr>
                <w:rFonts w:ascii="Courier New" w:eastAsia="Times New Roman" w:hAnsi="Courier New"/>
                <w:color w:val="7030A0"/>
                <w:sz w:val="22"/>
                <w:szCs w:val="24"/>
                <w:lang w:bidi="en-US"/>
              </w:rPr>
            </w:pPr>
          </w:p>
        </w:tc>
      </w:tr>
    </w:tbl>
    <w:p w14:paraId="79D4E0AC" w14:textId="77777777" w:rsidR="00C1022E" w:rsidRPr="0070242E" w:rsidRDefault="00C1022E" w:rsidP="00C1022E">
      <w:pPr>
        <w:rPr>
          <w:rFonts w:eastAsia="Times New Roman"/>
          <w:bCs/>
          <w:szCs w:val="24"/>
          <w:lang w:eastAsia="en-GB"/>
        </w:rPr>
      </w:pPr>
    </w:p>
    <w:p w14:paraId="76BC1899" w14:textId="77777777" w:rsidR="00C1022E" w:rsidRPr="0070242E" w:rsidRDefault="00C1022E" w:rsidP="00C1022E">
      <w:pPr>
        <w:pStyle w:val="ManualHeading2"/>
        <w:rPr>
          <w:rFonts w:eastAsia="Times New Roman"/>
          <w:bCs/>
          <w:szCs w:val="24"/>
        </w:rPr>
      </w:pPr>
      <w:r w:rsidRPr="0070242E">
        <w:t>4.2.</w:t>
      </w:r>
      <w:r w:rsidRPr="0070242E">
        <w:tab/>
        <w:t>A nyilvántartási rendszerre vonatkozó hatályos műveleti utasítások kódjainak jegyzéke</w:t>
      </w:r>
    </w:p>
    <w:tbl>
      <w:tblPr>
        <w:tblW w:w="93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334"/>
        <w:gridCol w:w="4691"/>
        <w:gridCol w:w="1604"/>
      </w:tblGrid>
      <w:tr w:rsidR="00C1022E" w:rsidRPr="0070242E" w14:paraId="50690B1A" w14:textId="77777777" w:rsidTr="00CD037E">
        <w:tc>
          <w:tcPr>
            <w:tcW w:w="1301" w:type="dxa"/>
            <w:tcBorders>
              <w:top w:val="single" w:sz="4" w:space="0" w:color="auto"/>
              <w:left w:val="single" w:sz="4" w:space="0" w:color="auto"/>
              <w:bottom w:val="single" w:sz="4" w:space="0" w:color="auto"/>
              <w:right w:val="single" w:sz="4" w:space="0" w:color="auto"/>
            </w:tcBorders>
            <w:vAlign w:val="center"/>
            <w:hideMark/>
          </w:tcPr>
          <w:p w14:paraId="29089800" w14:textId="77777777" w:rsidR="00C1022E" w:rsidRPr="0070242E" w:rsidRDefault="00C1022E" w:rsidP="00CD037E">
            <w:pPr>
              <w:spacing w:before="40" w:after="40"/>
              <w:jc w:val="center"/>
              <w:rPr>
                <w:rFonts w:eastAsia="Calibri" w:cs="Iskoola Pota"/>
                <w:sz w:val="20"/>
                <w:szCs w:val="20"/>
              </w:rPr>
            </w:pPr>
            <w:r w:rsidRPr="0070242E">
              <w:rPr>
                <w:b/>
                <w:sz w:val="20"/>
                <w:szCs w:val="20"/>
              </w:rPr>
              <w:t>Minőségértékelés száma (hivatkozási szám: 3.1.)</w:t>
            </w:r>
          </w:p>
        </w:tc>
        <w:tc>
          <w:tcPr>
            <w:tcW w:w="1371" w:type="dxa"/>
            <w:tcBorders>
              <w:top w:val="single" w:sz="4" w:space="0" w:color="auto"/>
              <w:left w:val="single" w:sz="4" w:space="0" w:color="auto"/>
              <w:bottom w:val="single" w:sz="4" w:space="0" w:color="auto"/>
              <w:right w:val="single" w:sz="4" w:space="0" w:color="auto"/>
            </w:tcBorders>
            <w:vAlign w:val="center"/>
            <w:hideMark/>
          </w:tcPr>
          <w:p w14:paraId="49BBF990" w14:textId="77777777" w:rsidR="00C1022E" w:rsidRPr="0070242E" w:rsidRDefault="00C1022E" w:rsidP="00CD037E">
            <w:pPr>
              <w:spacing w:before="40" w:after="40"/>
              <w:jc w:val="center"/>
              <w:rPr>
                <w:rFonts w:eastAsia="Calibri" w:cs="Iskoola Pota"/>
                <w:b/>
                <w:sz w:val="22"/>
              </w:rPr>
            </w:pPr>
            <w:r w:rsidRPr="0070242E">
              <w:rPr>
                <w:b/>
                <w:sz w:val="20"/>
                <w:szCs w:val="20"/>
              </w:rPr>
              <w:t>SOP-kód</w:t>
            </w:r>
            <w:r w:rsidRPr="0070242E">
              <w:t xml:space="preserve"> </w:t>
            </w:r>
            <w:r w:rsidRPr="0070242E">
              <w:br/>
            </w:r>
            <w:r w:rsidRPr="0070242E">
              <w:rPr>
                <w:b/>
                <w:sz w:val="20"/>
              </w:rPr>
              <w:t>(SOPNr – DocNr)</w:t>
            </w:r>
          </w:p>
        </w:tc>
        <w:tc>
          <w:tcPr>
            <w:tcW w:w="5030" w:type="dxa"/>
            <w:tcBorders>
              <w:top w:val="single" w:sz="4" w:space="0" w:color="auto"/>
              <w:left w:val="single" w:sz="4" w:space="0" w:color="auto"/>
              <w:bottom w:val="single" w:sz="4" w:space="0" w:color="auto"/>
              <w:right w:val="single" w:sz="4" w:space="0" w:color="auto"/>
            </w:tcBorders>
            <w:vAlign w:val="center"/>
            <w:hideMark/>
          </w:tcPr>
          <w:p w14:paraId="4B61E0AE" w14:textId="77777777" w:rsidR="00C1022E" w:rsidRPr="0070242E" w:rsidRDefault="00C1022E" w:rsidP="00CD037E">
            <w:pPr>
              <w:spacing w:before="40" w:after="40"/>
              <w:jc w:val="center"/>
              <w:rPr>
                <w:rFonts w:eastAsia="Calibri" w:cs="Iskoola Pota"/>
                <w:b/>
                <w:sz w:val="20"/>
                <w:szCs w:val="20"/>
              </w:rPr>
            </w:pPr>
            <w:r w:rsidRPr="0070242E">
              <w:rPr>
                <w:b/>
                <w:sz w:val="20"/>
                <w:szCs w:val="20"/>
              </w:rPr>
              <w:t>Rövid leírás</w:t>
            </w:r>
          </w:p>
        </w:tc>
        <w:tc>
          <w:tcPr>
            <w:tcW w:w="1621" w:type="dxa"/>
            <w:tcBorders>
              <w:top w:val="single" w:sz="4" w:space="0" w:color="auto"/>
              <w:left w:val="single" w:sz="4" w:space="0" w:color="auto"/>
              <w:bottom w:val="single" w:sz="4" w:space="0" w:color="auto"/>
              <w:right w:val="single" w:sz="4" w:space="0" w:color="auto"/>
            </w:tcBorders>
            <w:hideMark/>
          </w:tcPr>
          <w:p w14:paraId="04F5451D" w14:textId="77777777" w:rsidR="00C1022E" w:rsidRPr="0070242E" w:rsidRDefault="00C1022E" w:rsidP="00CD037E">
            <w:pPr>
              <w:spacing w:before="40" w:after="40"/>
              <w:jc w:val="center"/>
              <w:rPr>
                <w:rFonts w:eastAsia="Calibri" w:cs="Iskoola Pota"/>
                <w:b/>
                <w:sz w:val="20"/>
                <w:szCs w:val="20"/>
              </w:rPr>
            </w:pPr>
            <w:r w:rsidRPr="0070242E">
              <w:rPr>
                <w:b/>
                <w:sz w:val="20"/>
                <w:szCs w:val="20"/>
              </w:rPr>
              <w:t>Hely (a nyilvántartási rendszerbe való betáplálás helye)</w:t>
            </w:r>
          </w:p>
        </w:tc>
      </w:tr>
      <w:tr w:rsidR="00C1022E" w:rsidRPr="0070242E" w14:paraId="638B8E24" w14:textId="77777777" w:rsidTr="00CD037E">
        <w:trPr>
          <w:trHeight w:val="528"/>
        </w:trPr>
        <w:tc>
          <w:tcPr>
            <w:tcW w:w="1301" w:type="dxa"/>
            <w:tcBorders>
              <w:top w:val="single" w:sz="4" w:space="0" w:color="auto"/>
              <w:left w:val="single" w:sz="4" w:space="0" w:color="auto"/>
              <w:bottom w:val="single" w:sz="4" w:space="0" w:color="auto"/>
              <w:right w:val="single" w:sz="4" w:space="0" w:color="auto"/>
            </w:tcBorders>
          </w:tcPr>
          <w:p w14:paraId="68DBCCAB"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1371" w:type="dxa"/>
            <w:tcBorders>
              <w:top w:val="single" w:sz="4" w:space="0" w:color="auto"/>
              <w:left w:val="single" w:sz="4" w:space="0" w:color="auto"/>
              <w:bottom w:val="single" w:sz="4" w:space="0" w:color="auto"/>
              <w:right w:val="single" w:sz="4" w:space="0" w:color="auto"/>
            </w:tcBorders>
          </w:tcPr>
          <w:p w14:paraId="5347AF5C"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5030" w:type="dxa"/>
            <w:tcBorders>
              <w:top w:val="single" w:sz="4" w:space="0" w:color="auto"/>
              <w:left w:val="single" w:sz="4" w:space="0" w:color="auto"/>
              <w:bottom w:val="single" w:sz="4" w:space="0" w:color="auto"/>
              <w:right w:val="single" w:sz="4" w:space="0" w:color="auto"/>
            </w:tcBorders>
          </w:tcPr>
          <w:p w14:paraId="001F4434"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1621" w:type="dxa"/>
            <w:tcBorders>
              <w:top w:val="single" w:sz="4" w:space="0" w:color="auto"/>
              <w:left w:val="single" w:sz="4" w:space="0" w:color="auto"/>
              <w:bottom w:val="single" w:sz="4" w:space="0" w:color="auto"/>
              <w:right w:val="single" w:sz="4" w:space="0" w:color="auto"/>
            </w:tcBorders>
          </w:tcPr>
          <w:p w14:paraId="4A8821F5"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bl>
    <w:p w14:paraId="7BD8F702" w14:textId="77777777" w:rsidR="00C1022E" w:rsidRPr="0070242E" w:rsidRDefault="00C1022E" w:rsidP="00C1022E">
      <w:pPr>
        <w:rPr>
          <w:rFonts w:eastAsia="Times New Roman"/>
          <w:bCs/>
          <w:szCs w:val="26"/>
        </w:rPr>
      </w:pPr>
    </w:p>
    <w:p w14:paraId="4D88F233" w14:textId="77777777" w:rsidR="00C1022E" w:rsidRPr="0070242E" w:rsidRDefault="00C1022E" w:rsidP="00C1022E">
      <w:pPr>
        <w:pStyle w:val="ManualHeading2"/>
        <w:rPr>
          <w:rFonts w:eastAsia="Times New Roman"/>
          <w:bCs/>
          <w:szCs w:val="24"/>
        </w:rPr>
      </w:pPr>
      <w:r w:rsidRPr="0070242E">
        <w:t>4.3.</w:t>
      </w:r>
      <w:r w:rsidRPr="0070242E">
        <w:tab/>
        <w:t>Egyéb vonatkozó nyilvántartások/rendszerek</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29"/>
      </w:tblGrid>
      <w:tr w:rsidR="00C1022E" w:rsidRPr="0070242E" w14:paraId="4B09E256" w14:textId="77777777" w:rsidTr="00CD037E">
        <w:tc>
          <w:tcPr>
            <w:tcW w:w="2093" w:type="dxa"/>
            <w:tcBorders>
              <w:top w:val="single" w:sz="4" w:space="0" w:color="auto"/>
              <w:left w:val="single" w:sz="4" w:space="0" w:color="auto"/>
              <w:bottom w:val="single" w:sz="4" w:space="0" w:color="auto"/>
              <w:right w:val="single" w:sz="4" w:space="0" w:color="auto"/>
            </w:tcBorders>
            <w:hideMark/>
          </w:tcPr>
          <w:p w14:paraId="19C06CB7" w14:textId="77777777" w:rsidR="00C1022E" w:rsidRPr="0070242E" w:rsidRDefault="00C1022E" w:rsidP="00CD037E">
            <w:pPr>
              <w:keepNext/>
              <w:keepLines/>
              <w:spacing w:before="40" w:after="40"/>
              <w:jc w:val="center"/>
              <w:rPr>
                <w:rFonts w:eastAsia="Calibri" w:cs="Iskoola Pota"/>
              </w:rPr>
            </w:pPr>
            <w:r w:rsidRPr="0070242E">
              <w:rPr>
                <w:b/>
              </w:rPr>
              <w:t>Eljárás</w:t>
            </w:r>
          </w:p>
        </w:tc>
        <w:tc>
          <w:tcPr>
            <w:tcW w:w="7229" w:type="dxa"/>
            <w:tcBorders>
              <w:top w:val="single" w:sz="4" w:space="0" w:color="auto"/>
              <w:left w:val="single" w:sz="4" w:space="0" w:color="auto"/>
              <w:bottom w:val="single" w:sz="4" w:space="0" w:color="auto"/>
              <w:right w:val="single" w:sz="4" w:space="0" w:color="auto"/>
            </w:tcBorders>
            <w:hideMark/>
          </w:tcPr>
          <w:p w14:paraId="06176853" w14:textId="77777777" w:rsidR="00C1022E" w:rsidRPr="0070242E" w:rsidRDefault="00C1022E" w:rsidP="00CD037E">
            <w:pPr>
              <w:keepNext/>
              <w:keepLines/>
              <w:spacing w:before="40" w:after="40"/>
              <w:jc w:val="center"/>
              <w:rPr>
                <w:rFonts w:eastAsia="Calibri" w:cs="Iskoola Pota"/>
                <w:b/>
              </w:rPr>
            </w:pPr>
            <w:r w:rsidRPr="0070242E">
              <w:rPr>
                <w:b/>
              </w:rPr>
              <w:t>Leírás/Dokumentáció</w:t>
            </w:r>
          </w:p>
        </w:tc>
      </w:tr>
      <w:tr w:rsidR="00C1022E" w:rsidRPr="0070242E" w14:paraId="3630C49A" w14:textId="77777777" w:rsidTr="00CD037E">
        <w:tc>
          <w:tcPr>
            <w:tcW w:w="2093" w:type="dxa"/>
            <w:tcBorders>
              <w:top w:val="single" w:sz="4" w:space="0" w:color="auto"/>
              <w:left w:val="single" w:sz="4" w:space="0" w:color="auto"/>
              <w:bottom w:val="single" w:sz="4" w:space="0" w:color="auto"/>
              <w:right w:val="single" w:sz="4" w:space="0" w:color="auto"/>
            </w:tcBorders>
          </w:tcPr>
          <w:p w14:paraId="553CE132"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c>
          <w:tcPr>
            <w:tcW w:w="7229" w:type="dxa"/>
            <w:tcBorders>
              <w:top w:val="single" w:sz="4" w:space="0" w:color="auto"/>
              <w:left w:val="single" w:sz="4" w:space="0" w:color="auto"/>
              <w:bottom w:val="single" w:sz="4" w:space="0" w:color="auto"/>
              <w:right w:val="single" w:sz="4" w:space="0" w:color="auto"/>
            </w:tcBorders>
          </w:tcPr>
          <w:p w14:paraId="1B9820D8" w14:textId="77777777" w:rsidR="00C1022E" w:rsidRPr="0070242E" w:rsidRDefault="00C1022E" w:rsidP="00CD037E">
            <w:pPr>
              <w:widowControl w:val="0"/>
              <w:spacing w:before="0" w:after="0"/>
              <w:jc w:val="left"/>
              <w:rPr>
                <w:rFonts w:ascii="Courier New" w:eastAsia="Calibri" w:hAnsi="Courier New"/>
                <w:color w:val="7030A0"/>
                <w:sz w:val="22"/>
                <w:szCs w:val="24"/>
                <w:lang w:bidi="en-US"/>
              </w:rPr>
            </w:pPr>
          </w:p>
        </w:tc>
      </w:tr>
    </w:tbl>
    <w:p w14:paraId="052A91A1" w14:textId="77777777" w:rsidR="004A1473" w:rsidRDefault="004A1473"/>
    <w:sectPr w:rsidR="004A14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B84D8" w14:textId="77777777" w:rsidR="00C1022E" w:rsidRDefault="00C1022E" w:rsidP="00C1022E">
      <w:pPr>
        <w:spacing w:before="0" w:after="0"/>
      </w:pPr>
      <w:r>
        <w:separator/>
      </w:r>
    </w:p>
  </w:endnote>
  <w:endnote w:type="continuationSeparator" w:id="0">
    <w:p w14:paraId="5ADA585A" w14:textId="77777777" w:rsidR="00C1022E" w:rsidRDefault="00C1022E" w:rsidP="00C102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skoola Pota">
    <w:charset w:val="00"/>
    <w:family w:val="swiss"/>
    <w:pitch w:val="variable"/>
    <w:sig w:usb0="00000003" w:usb1="00000000" w:usb2="000002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4A0D5" w14:textId="77777777" w:rsidR="00C1022E" w:rsidRDefault="00C1022E" w:rsidP="00C1022E">
      <w:pPr>
        <w:spacing w:before="0" w:after="0"/>
      </w:pPr>
      <w:r>
        <w:separator/>
      </w:r>
    </w:p>
  </w:footnote>
  <w:footnote w:type="continuationSeparator" w:id="0">
    <w:p w14:paraId="1D387348" w14:textId="77777777" w:rsidR="00C1022E" w:rsidRDefault="00C1022E" w:rsidP="00C1022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22E"/>
    <w:rsid w:val="004A1473"/>
    <w:rsid w:val="00C1022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F3B51"/>
  <w15:chartTrackingRefBased/>
  <w15:docId w15:val="{F478260A-4429-44CC-80B0-029CB283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22E"/>
    <w:pPr>
      <w:spacing w:before="120" w:after="120" w:line="240" w:lineRule="auto"/>
      <w:jc w:val="both"/>
    </w:pPr>
    <w:rPr>
      <w:rFonts w:ascii="Times New Roman" w:hAnsi="Times New Roman" w:cs="Times New Roman"/>
      <w:sz w:val="24"/>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C1022E"/>
    <w:pPr>
      <w:ind w:left="850"/>
    </w:pPr>
  </w:style>
  <w:style w:type="paragraph" w:customStyle="1" w:styleId="Tiret1">
    <w:name w:val="Tiret 1"/>
    <w:basedOn w:val="Normal"/>
    <w:rsid w:val="00C1022E"/>
    <w:pPr>
      <w:numPr>
        <w:numId w:val="1"/>
      </w:numPr>
    </w:pPr>
  </w:style>
  <w:style w:type="paragraph" w:customStyle="1" w:styleId="ManualHeading1">
    <w:name w:val="Manual Heading 1"/>
    <w:basedOn w:val="Normal"/>
    <w:next w:val="Text1"/>
    <w:rsid w:val="00C1022E"/>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C1022E"/>
    <w:pPr>
      <w:keepNext/>
      <w:tabs>
        <w:tab w:val="left" w:pos="850"/>
      </w:tabs>
      <w:ind w:left="850" w:hanging="850"/>
      <w:outlineLvl w:val="1"/>
    </w:pPr>
    <w:rPr>
      <w:b/>
    </w:rPr>
  </w:style>
  <w:style w:type="paragraph" w:customStyle="1" w:styleId="ManualHeading3">
    <w:name w:val="Manual Heading 3"/>
    <w:basedOn w:val="Normal"/>
    <w:next w:val="Text1"/>
    <w:rsid w:val="00C1022E"/>
    <w:pPr>
      <w:keepNext/>
      <w:tabs>
        <w:tab w:val="left" w:pos="850"/>
      </w:tabs>
      <w:ind w:left="850" w:hanging="850"/>
      <w:outlineLvl w:val="2"/>
    </w:pPr>
    <w:rPr>
      <w:i/>
    </w:rPr>
  </w:style>
  <w:style w:type="character" w:customStyle="1" w:styleId="Marker">
    <w:name w:val="Marker"/>
    <w:basedOn w:val="DefaultParagraphFont"/>
    <w:rsid w:val="00C1022E"/>
    <w:rPr>
      <w:color w:val="0000FF"/>
      <w:shd w:val="clear" w:color="auto" w:fill="auto"/>
    </w:rPr>
  </w:style>
  <w:style w:type="paragraph" w:customStyle="1" w:styleId="Annexetitre">
    <w:name w:val="Annexe titre"/>
    <w:basedOn w:val="Normal"/>
    <w:next w:val="Normal"/>
    <w:rsid w:val="00C1022E"/>
    <w:pPr>
      <w:jc w:val="center"/>
    </w:pP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1109</Words>
  <Characters>8146</Characters>
  <DocSecurity>0</DocSecurity>
  <Lines>407</Lines>
  <Paragraphs>149</Paragraphs>
  <ScaleCrop>false</ScaleCrop>
  <Company>European Commission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2022-09-28T08:52:00Z</dcterms:created>
  <dcterms:modified xsi:type="dcterms:W3CDTF">2022-09-28T08:52:00Z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2022-09-28T08:52:12Z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cdfc8ba4-9e8e-464c-aa8d-6c6765441737</vt:lpwstr>
  </property>
  <property fmtid="{D5CDD505-2E9C-101B-9397-08002B2CF9AE}" pid="8" name="MSIP_Label_6bd9ddd1-4d20-43f6-abfa-fc3c07406f94_ContentBits">
    <vt:lpwstr>0</vt:lpwstr>
  </property>
</Properties>
</file>